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63" w:rsidRDefault="00554363" w:rsidP="0003123E">
      <w:pPr>
        <w:pStyle w:val="1"/>
        <w:rPr>
          <w:sz w:val="32"/>
          <w:szCs w:val="32"/>
          <w:lang w:val="uk-UA"/>
        </w:rPr>
      </w:pPr>
      <w:bookmarkStart w:id="0" w:name="_GoBack"/>
      <w:bookmarkEnd w:id="0"/>
      <w:r>
        <w:rPr>
          <w:noProof/>
          <w:color w:val="474747"/>
          <w:sz w:val="16"/>
          <w:szCs w:val="16"/>
        </w:rPr>
        <w:drawing>
          <wp:anchor distT="114300" distB="114300" distL="114300" distR="114300" simplePos="0" relativeHeight="251659264" behindDoc="0" locked="0" layoutInCell="1" hidden="0" allowOverlap="1" wp14:anchorId="26516018" wp14:editId="1AE04320">
            <wp:simplePos x="0" y="0"/>
            <wp:positionH relativeFrom="margin">
              <wp:posOffset>-1061085</wp:posOffset>
            </wp:positionH>
            <wp:positionV relativeFrom="page">
              <wp:align>top</wp:align>
            </wp:positionV>
            <wp:extent cx="7839075" cy="1379677"/>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843694" cy="1380490"/>
                    </a:xfrm>
                    <a:prstGeom prst="rect">
                      <a:avLst/>
                    </a:prstGeom>
                    <a:ln/>
                  </pic:spPr>
                </pic:pic>
              </a:graphicData>
            </a:graphic>
            <wp14:sizeRelH relativeFrom="margin">
              <wp14:pctWidth>0</wp14:pctWidth>
            </wp14:sizeRelH>
          </wp:anchor>
        </w:drawing>
      </w:r>
      <w:r w:rsidR="0003123E">
        <w:rPr>
          <w:sz w:val="32"/>
          <w:szCs w:val="32"/>
          <w:lang w:val="uk-UA"/>
        </w:rPr>
        <w:t xml:space="preserve">                       </w:t>
      </w:r>
    </w:p>
    <w:p w:rsidR="00554363" w:rsidRDefault="00554363" w:rsidP="0003123E">
      <w:pPr>
        <w:pStyle w:val="1"/>
        <w:rPr>
          <w:sz w:val="32"/>
          <w:szCs w:val="32"/>
          <w:lang w:val="uk-UA"/>
        </w:rPr>
      </w:pPr>
    </w:p>
    <w:p w:rsidR="00EC2213" w:rsidRDefault="00EC2213" w:rsidP="0003123E">
      <w:pPr>
        <w:pStyle w:val="1"/>
        <w:rPr>
          <w:sz w:val="32"/>
          <w:szCs w:val="32"/>
          <w:lang w:val="uk-UA"/>
        </w:rPr>
      </w:pPr>
    </w:p>
    <w:p w:rsidR="00364403" w:rsidRDefault="008B479F" w:rsidP="00C16454">
      <w:pPr>
        <w:pStyle w:val="1"/>
        <w:jc w:val="center"/>
        <w:rPr>
          <w:sz w:val="32"/>
          <w:szCs w:val="32"/>
          <w:lang w:val="uk-UA"/>
        </w:rPr>
      </w:pPr>
      <w:r>
        <w:rPr>
          <w:sz w:val="32"/>
          <w:szCs w:val="32"/>
          <w:lang w:val="uk-UA"/>
        </w:rPr>
        <w:t>Кібербезпека</w:t>
      </w:r>
    </w:p>
    <w:p w:rsidR="00C16454" w:rsidRPr="00C16454" w:rsidRDefault="00364403" w:rsidP="00C16454">
      <w:pPr>
        <w:pStyle w:val="1"/>
        <w:jc w:val="center"/>
        <w:rPr>
          <w:sz w:val="32"/>
          <w:szCs w:val="32"/>
        </w:rPr>
      </w:pPr>
      <w:r>
        <w:rPr>
          <w:sz w:val="32"/>
          <w:szCs w:val="32"/>
          <w:lang w:val="uk-UA"/>
        </w:rPr>
        <w:t>(інформаційні злочини, інформаційний тероризм)</w:t>
      </w:r>
      <w:r w:rsidR="00C16454" w:rsidRPr="00C16454">
        <w:rPr>
          <w:sz w:val="32"/>
          <w:szCs w:val="32"/>
        </w:rPr>
        <w:t>:</w:t>
      </w:r>
    </w:p>
    <w:p w:rsidR="00C16454" w:rsidRPr="00C16454" w:rsidRDefault="00C16454" w:rsidP="00C16454">
      <w:pPr>
        <w:pStyle w:val="1"/>
        <w:jc w:val="center"/>
        <w:rPr>
          <w:i/>
          <w:sz w:val="28"/>
          <w:szCs w:val="28"/>
        </w:rPr>
      </w:pPr>
      <w:r w:rsidRPr="00C16454">
        <w:rPr>
          <w:i/>
          <w:sz w:val="28"/>
          <w:szCs w:val="28"/>
        </w:rPr>
        <w:t>анотований бібліографічний список</w:t>
      </w:r>
    </w:p>
    <w:p w:rsidR="00CF145B" w:rsidRPr="008D4D0E" w:rsidRDefault="00CF145B" w:rsidP="00CF145B">
      <w:pPr>
        <w:spacing w:after="120"/>
        <w:ind w:right="-324"/>
        <w:rPr>
          <w:color w:val="274E13"/>
          <w:sz w:val="20"/>
          <w:szCs w:val="20"/>
        </w:rPr>
      </w:pPr>
    </w:p>
    <w:p w:rsidR="00CF145B" w:rsidRPr="00900F88" w:rsidRDefault="00CF145B" w:rsidP="00EC2213">
      <w:pPr>
        <w:spacing w:after="120"/>
        <w:ind w:right="-324"/>
        <w:rPr>
          <w:rFonts w:cs="Times New Roman"/>
          <w:color w:val="274E13"/>
          <w:sz w:val="24"/>
          <w:szCs w:val="24"/>
        </w:rPr>
      </w:pPr>
      <w:r w:rsidRPr="00900F88">
        <w:rPr>
          <w:rFonts w:cs="Times New Roman"/>
          <w:noProof/>
          <w:sz w:val="24"/>
          <w:szCs w:val="24"/>
          <w:lang w:eastAsia="ru-RU"/>
        </w:rPr>
        <w:drawing>
          <wp:anchor distT="114300" distB="114300" distL="114300" distR="114300" simplePos="0" relativeHeight="251661312" behindDoc="1" locked="0" layoutInCell="1" allowOverlap="1" wp14:anchorId="1E26C97B" wp14:editId="510C2F1A">
            <wp:simplePos x="0" y="0"/>
            <wp:positionH relativeFrom="margin">
              <wp:posOffset>-1061085</wp:posOffset>
            </wp:positionH>
            <wp:positionV relativeFrom="margin">
              <wp:posOffset>2698750</wp:posOffset>
            </wp:positionV>
            <wp:extent cx="609600" cy="5810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pic:spPr>
                </pic:pic>
              </a:graphicData>
            </a:graphic>
            <wp14:sizeRelH relativeFrom="page">
              <wp14:pctWidth>0</wp14:pctWidth>
            </wp14:sizeRelH>
            <wp14:sizeRelV relativeFrom="page">
              <wp14:pctHeight>0</wp14:pctHeight>
            </wp14:sizeRelV>
          </wp:anchor>
        </w:drawing>
      </w:r>
      <w:r w:rsidRPr="00900F88">
        <w:rPr>
          <w:rFonts w:cs="Times New Roman"/>
          <w:color w:val="274E13"/>
          <w:sz w:val="24"/>
          <w:szCs w:val="24"/>
        </w:rPr>
        <w:t xml:space="preserve">Вип. </w:t>
      </w:r>
      <w:r w:rsidR="00D027A7">
        <w:rPr>
          <w:rFonts w:cs="Times New Roman"/>
          <w:color w:val="274E13"/>
          <w:sz w:val="24"/>
          <w:szCs w:val="24"/>
          <w:lang w:val="uk-UA"/>
        </w:rPr>
        <w:t>4</w:t>
      </w:r>
      <w:r w:rsidRPr="00900F88">
        <w:rPr>
          <w:rFonts w:cs="Times New Roman"/>
          <w:color w:val="274E13"/>
          <w:sz w:val="24"/>
          <w:szCs w:val="24"/>
        </w:rPr>
        <w:t xml:space="preserve"> / 2026</w:t>
      </w:r>
    </w:p>
    <w:p w:rsidR="00CF145B" w:rsidRPr="00900F88" w:rsidRDefault="00D027A7" w:rsidP="00EC2213">
      <w:pPr>
        <w:spacing w:after="120"/>
        <w:rPr>
          <w:rFonts w:cs="Times New Roman"/>
          <w:color w:val="274E13"/>
          <w:sz w:val="24"/>
          <w:szCs w:val="24"/>
          <w:lang w:val="uk-UA"/>
        </w:rPr>
      </w:pPr>
      <w:r>
        <w:rPr>
          <w:rFonts w:cs="Times New Roman"/>
          <w:color w:val="274E13"/>
          <w:sz w:val="24"/>
          <w:szCs w:val="24"/>
          <w:lang w:val="uk-UA"/>
        </w:rPr>
        <w:t>трав</w:t>
      </w:r>
      <w:r w:rsidR="00542E63">
        <w:rPr>
          <w:rFonts w:cs="Times New Roman"/>
          <w:color w:val="274E13"/>
          <w:sz w:val="24"/>
          <w:szCs w:val="24"/>
          <w:lang w:val="uk-UA"/>
        </w:rPr>
        <w:t>ень</w:t>
      </w:r>
    </w:p>
    <w:p w:rsidR="00CF145B" w:rsidRPr="00664188" w:rsidRDefault="00CF145B" w:rsidP="00CF145B">
      <w:pPr>
        <w:rPr>
          <w:rFonts w:cs="Times New Roman"/>
          <w:b/>
          <w:sz w:val="24"/>
          <w:szCs w:val="24"/>
        </w:rPr>
      </w:pPr>
      <w:r w:rsidRPr="00EC2213">
        <w:rPr>
          <w:rFonts w:cs="Times New Roman"/>
          <w:b/>
          <w:bCs/>
          <w:color w:val="274E13"/>
          <w:sz w:val="24"/>
          <w:szCs w:val="24"/>
          <w:lang w:val="en-US"/>
        </w:rPr>
        <w:t>URL</w:t>
      </w:r>
      <w:r w:rsidRPr="00664188">
        <w:rPr>
          <w:rFonts w:cs="Times New Roman"/>
          <w:b/>
          <w:bCs/>
          <w:color w:val="274E13"/>
          <w:sz w:val="24"/>
          <w:szCs w:val="24"/>
        </w:rPr>
        <w:t xml:space="preserve">: </w:t>
      </w:r>
      <w:hyperlink r:id="rId10" w:history="1">
        <w:r w:rsidRPr="00EC2213">
          <w:rPr>
            <w:rStyle w:val="a3"/>
            <w:rFonts w:cs="Times New Roman"/>
            <w:color w:val="274E13"/>
            <w:sz w:val="24"/>
            <w:szCs w:val="24"/>
            <w:lang w:val="en-US"/>
          </w:rPr>
          <w:t>http</w:t>
        </w:r>
        <w:r w:rsidRPr="00664188">
          <w:rPr>
            <w:rStyle w:val="a3"/>
            <w:rFonts w:cs="Times New Roman"/>
            <w:color w:val="274E13"/>
            <w:sz w:val="24"/>
            <w:szCs w:val="24"/>
          </w:rPr>
          <w:t>://</w:t>
        </w:r>
        <w:r w:rsidRPr="00EC2213">
          <w:rPr>
            <w:rStyle w:val="a3"/>
            <w:rFonts w:cs="Times New Roman"/>
            <w:color w:val="274E13"/>
            <w:sz w:val="24"/>
            <w:szCs w:val="24"/>
            <w:lang w:val="en-US"/>
          </w:rPr>
          <w:t>nplu</w:t>
        </w:r>
        <w:r w:rsidRPr="00664188">
          <w:rPr>
            <w:rStyle w:val="a3"/>
            <w:rFonts w:cs="Times New Roman"/>
            <w:color w:val="274E13"/>
            <w:sz w:val="24"/>
            <w:szCs w:val="24"/>
          </w:rPr>
          <w:t>.</w:t>
        </w:r>
        <w:r w:rsidRPr="00EC2213">
          <w:rPr>
            <w:rStyle w:val="a3"/>
            <w:rFonts w:cs="Times New Roman"/>
            <w:color w:val="274E13"/>
            <w:sz w:val="24"/>
            <w:szCs w:val="24"/>
            <w:lang w:val="en-US"/>
          </w:rPr>
          <w:t>org</w:t>
        </w:r>
        <w:r w:rsidRPr="00664188">
          <w:rPr>
            <w:rStyle w:val="a3"/>
            <w:rFonts w:cs="Times New Roman"/>
            <w:color w:val="274E13"/>
            <w:sz w:val="24"/>
            <w:szCs w:val="24"/>
          </w:rPr>
          <w:t>/</w:t>
        </w:r>
        <w:r w:rsidRPr="00EC2213">
          <w:rPr>
            <w:rStyle w:val="a3"/>
            <w:rFonts w:cs="Times New Roman"/>
            <w:color w:val="274E13"/>
            <w:sz w:val="24"/>
            <w:szCs w:val="24"/>
            <w:lang w:val="en-US"/>
          </w:rPr>
          <w:t>article</w:t>
        </w:r>
        <w:r w:rsidRPr="00664188">
          <w:rPr>
            <w:rStyle w:val="a3"/>
            <w:rFonts w:cs="Times New Roman"/>
            <w:color w:val="274E13"/>
            <w:sz w:val="24"/>
            <w:szCs w:val="24"/>
          </w:rPr>
          <w:t>.</w:t>
        </w:r>
        <w:r w:rsidRPr="00EC2213">
          <w:rPr>
            <w:rStyle w:val="a3"/>
            <w:rFonts w:cs="Times New Roman"/>
            <w:color w:val="274E13"/>
            <w:sz w:val="24"/>
            <w:szCs w:val="24"/>
            <w:lang w:val="en-US"/>
          </w:rPr>
          <w:t>php</w:t>
        </w:r>
        <w:r w:rsidRPr="00664188">
          <w:rPr>
            <w:rStyle w:val="a3"/>
            <w:rFonts w:cs="Times New Roman"/>
            <w:color w:val="274E13"/>
            <w:sz w:val="24"/>
            <w:szCs w:val="24"/>
          </w:rPr>
          <w:t>?</w:t>
        </w:r>
        <w:r w:rsidRPr="00EC2213">
          <w:rPr>
            <w:rStyle w:val="a3"/>
            <w:rFonts w:cs="Times New Roman"/>
            <w:color w:val="274E13"/>
            <w:sz w:val="24"/>
            <w:szCs w:val="24"/>
            <w:lang w:val="en-US"/>
          </w:rPr>
          <w:t>id</w:t>
        </w:r>
        <w:r w:rsidRPr="00664188">
          <w:rPr>
            <w:rStyle w:val="a3"/>
            <w:rFonts w:cs="Times New Roman"/>
            <w:color w:val="274E13"/>
            <w:sz w:val="24"/>
            <w:szCs w:val="24"/>
          </w:rPr>
          <w:t>=423&amp;</w:t>
        </w:r>
        <w:r w:rsidRPr="00EC2213">
          <w:rPr>
            <w:rStyle w:val="a3"/>
            <w:rFonts w:cs="Times New Roman"/>
            <w:color w:val="274E13"/>
            <w:sz w:val="24"/>
            <w:szCs w:val="24"/>
            <w:lang w:val="en-US"/>
          </w:rPr>
          <w:t>subject</w:t>
        </w:r>
        <w:r w:rsidRPr="00664188">
          <w:rPr>
            <w:rStyle w:val="a3"/>
            <w:rFonts w:cs="Times New Roman"/>
            <w:color w:val="274E13"/>
            <w:sz w:val="24"/>
            <w:szCs w:val="24"/>
          </w:rPr>
          <w:t>=3</w:t>
        </w:r>
      </w:hyperlink>
    </w:p>
    <w:p w:rsidR="00CF145B" w:rsidRDefault="00CF145B" w:rsidP="00CF145B">
      <w:pPr>
        <w:rPr>
          <w:rFonts w:cs="Times New Roman"/>
          <w:b/>
          <w:sz w:val="24"/>
          <w:szCs w:val="24"/>
          <w:lang w:val="uk-UA"/>
        </w:rPr>
      </w:pPr>
    </w:p>
    <w:p w:rsidR="00097696" w:rsidRPr="000312FA" w:rsidRDefault="00097696" w:rsidP="000312FA">
      <w:pPr>
        <w:pStyle w:val="a7"/>
        <w:numPr>
          <w:ilvl w:val="0"/>
          <w:numId w:val="24"/>
        </w:numPr>
        <w:spacing w:after="120" w:line="360" w:lineRule="auto"/>
        <w:ind w:left="0" w:firstLine="567"/>
        <w:jc w:val="both"/>
        <w:rPr>
          <w:rFonts w:cs="Times New Roman"/>
          <w:szCs w:val="28"/>
          <w:lang w:val="uk-UA"/>
        </w:rPr>
      </w:pPr>
      <w:r w:rsidRPr="00F204AE">
        <w:rPr>
          <w:rFonts w:cs="Times New Roman"/>
          <w:b/>
          <w:szCs w:val="28"/>
          <w:lang w:val="uk-UA"/>
        </w:rPr>
        <w:t>Аналіз інструментів і технологій отримання даних з мобільних пристроїв у контексті розслідування кіберзлочинів</w:t>
      </w:r>
      <w:r w:rsidRPr="000312FA">
        <w:rPr>
          <w:rFonts w:cs="Times New Roman"/>
          <w:szCs w:val="28"/>
          <w:lang w:val="uk-UA"/>
        </w:rPr>
        <w:t xml:space="preserve"> [Електронний ресурс] / Ю. В. Синявіна, І. В. Чалий, Т. А. Бутенко, В. M. Сирий, Н. М. Проценко // Вісн. Вінниц. політехн. ін-т. – 2026. – №  2. – С. 55-64. </w:t>
      </w:r>
      <w:r w:rsidRPr="000312FA">
        <w:rPr>
          <w:rFonts w:cs="Times New Roman"/>
          <w:i/>
          <w:szCs w:val="28"/>
          <w:lang w:val="uk-UA"/>
        </w:rPr>
        <w:t xml:space="preserve">Проаналізовано сучасні технології отримання даних </w:t>
      </w:r>
      <w:r w:rsidR="00F204AE">
        <w:rPr>
          <w:rFonts w:cs="Times New Roman"/>
          <w:i/>
          <w:szCs w:val="28"/>
          <w:lang w:val="uk-UA"/>
        </w:rPr>
        <w:t>і</w:t>
      </w:r>
      <w:r w:rsidRPr="000312FA">
        <w:rPr>
          <w:rFonts w:cs="Times New Roman"/>
          <w:i/>
          <w:szCs w:val="28"/>
          <w:lang w:val="uk-UA"/>
        </w:rPr>
        <w:t xml:space="preserve">з мобільних пристроїв у контексті цифрової форензики та розслідування кіберзлочинів. Обґрунтовано зростання ролі мобільних пристроїв як ключових носіїв цифрових доказів у кримінальних провадженнях, пов’язаних </w:t>
      </w:r>
      <w:r w:rsidR="00F204AE">
        <w:rPr>
          <w:rFonts w:cs="Times New Roman"/>
          <w:i/>
          <w:szCs w:val="28"/>
          <w:lang w:val="uk-UA"/>
        </w:rPr>
        <w:t>і</w:t>
      </w:r>
      <w:r w:rsidRPr="000312FA">
        <w:rPr>
          <w:rFonts w:cs="Times New Roman"/>
          <w:i/>
          <w:szCs w:val="28"/>
          <w:lang w:val="uk-UA"/>
        </w:rPr>
        <w:t xml:space="preserve">з протиправною діяльністю у кіберпросторі. Подано класифікацію основних методів екстракції даних та їхні технічні особливості, що дозволяє обирати оптимальні підходи до їх використання. Проаналізовано специфіку застосування актуальних технологічних рішень мобільної форензики в Україні з урахуванням інституційних, технічних, правових та освітніх аспектів, євроінтеграції, воєнного стану, постійного ускладнення технічних викликів, пов’язаних із захистом даних та адаптацією правового поля до реалій цифрових доказів. Увагу приділено процесуальній придатності цифрових доказів, а також адаптації інструментів до умов національної </w:t>
      </w:r>
      <w:r w:rsidRPr="000312FA">
        <w:rPr>
          <w:rFonts w:cs="Times New Roman"/>
          <w:i/>
          <w:szCs w:val="28"/>
          <w:lang w:val="uk-UA"/>
        </w:rPr>
        <w:lastRenderedPageBreak/>
        <w:t>юридичної практики та специфіки науково-дослідної роботи у сфері кібербезпеки. Описано власний досвід інтеграції університетської освіти з національними проєктами, які є частиною загальної екосистеми кібербезпеки в Україні й об’єднують просвітництво та взаємодію з правоохоронцями. Зазначено роль хмарної форензики в аспекті можливості підвищення повноти доказової бази та дотримання національних процесуальних вимог доступу до персональних даних. Визначено перспективні напрями розвитку методів отримання доказів в умовах посилення криптографічного захисту.</w:t>
      </w:r>
      <w:r w:rsidRPr="000312FA">
        <w:rPr>
          <w:rFonts w:cs="Times New Roman"/>
          <w:szCs w:val="28"/>
          <w:lang w:val="uk-UA"/>
        </w:rPr>
        <w:t xml:space="preserve"> Текст: </w:t>
      </w:r>
      <w:hyperlink r:id="rId11" w:history="1">
        <w:r w:rsidRPr="000312FA">
          <w:rPr>
            <w:rStyle w:val="a3"/>
            <w:rFonts w:cs="Times New Roman"/>
            <w:szCs w:val="28"/>
            <w:lang w:val="uk-UA"/>
          </w:rPr>
          <w:t>https://visnyk.vntu.edu.ua/index.php/visnyk/article/view/3432/3068</w:t>
        </w:r>
      </w:hyperlink>
    </w:p>
    <w:p w:rsidR="00F13115" w:rsidRPr="000312FA" w:rsidRDefault="00F13115" w:rsidP="000312FA">
      <w:pPr>
        <w:pStyle w:val="a7"/>
        <w:numPr>
          <w:ilvl w:val="0"/>
          <w:numId w:val="24"/>
        </w:numPr>
        <w:spacing w:after="120" w:line="360" w:lineRule="auto"/>
        <w:ind w:left="0" w:firstLine="567"/>
        <w:jc w:val="both"/>
        <w:rPr>
          <w:rFonts w:cs="Times New Roman"/>
          <w:szCs w:val="28"/>
          <w:lang w:val="uk-UA"/>
        </w:rPr>
      </w:pPr>
      <w:r w:rsidRPr="000312FA">
        <w:rPr>
          <w:rFonts w:cs="Times New Roman"/>
          <w:b/>
          <w:szCs w:val="28"/>
          <w:lang w:val="uk-UA"/>
        </w:rPr>
        <w:t>Багатко А. С. Відповідальність держави-агресора за кібератаки проти цивільної інфраструктури</w:t>
      </w:r>
      <w:r w:rsidRPr="000312FA">
        <w:rPr>
          <w:rFonts w:cs="Times New Roman"/>
          <w:szCs w:val="28"/>
          <w:lang w:val="uk-UA"/>
        </w:rPr>
        <w:t xml:space="preserve"> [Електронний ресурс] / Анастасія Сергіївна Багатко // Успіхи і досягнення у науці. – 2026. – № 4. — С. 53-63. </w:t>
      </w:r>
      <w:r w:rsidRPr="000312FA">
        <w:rPr>
          <w:rFonts w:cs="Times New Roman"/>
          <w:i/>
          <w:szCs w:val="28"/>
          <w:lang w:val="uk-UA"/>
        </w:rPr>
        <w:t>Здійснено комплексне дослідження міжнародно-правових засад відповідальності держави-агресора за здійснення кібератак проти цивільної інфраструктури. Особливу увагу приділено аналізу правової природи кібератак, їх кваліфікації як міжнародно-протиправних діянь, а також можливості їх віднесення до форм застосування сили відповідно до норм міжнародного права. На прикладі кібератак на енергетичну, телекомунікаційну та фінансову інфраструктуру України доведено системний характер кібероперацій держави-агресора та їх інтеграцію у стратегію гібридної війни. Встановлено, що такі атаки спрямовані на порушення функціонування критично важливих об’єктів та створення гуманітарних наслідків для цивільного населення. Зроблено висновок про необхідність подальшої кодифікації норм міжнародного права у сфері кібербезпеки та формування ефективної системи притягнення держави-агресора до відповідальності за кібератаки проти цивільної інфраструктури</w:t>
      </w:r>
      <w:r w:rsidRPr="000312FA">
        <w:rPr>
          <w:rFonts w:cs="Times New Roman"/>
          <w:szCs w:val="28"/>
          <w:lang w:val="uk-UA"/>
        </w:rPr>
        <w:t xml:space="preserve">. Текст: </w:t>
      </w:r>
      <w:hyperlink r:id="rId12" w:history="1">
        <w:r w:rsidRPr="000312FA">
          <w:rPr>
            <w:rStyle w:val="a3"/>
            <w:rFonts w:cs="Times New Roman"/>
            <w:szCs w:val="28"/>
            <w:lang w:val="uk-UA"/>
          </w:rPr>
          <w:t>https://perspectives.pp.ua/index.php/sas/article/view/41969/41984</w:t>
        </w:r>
      </w:hyperlink>
    </w:p>
    <w:p w:rsidR="00D8787D" w:rsidRPr="000312FA" w:rsidRDefault="00D8787D" w:rsidP="000312FA">
      <w:pPr>
        <w:pStyle w:val="a7"/>
        <w:numPr>
          <w:ilvl w:val="0"/>
          <w:numId w:val="24"/>
        </w:numPr>
        <w:spacing w:after="120" w:line="360" w:lineRule="auto"/>
        <w:ind w:left="0" w:firstLine="567"/>
        <w:jc w:val="both"/>
        <w:rPr>
          <w:rFonts w:cs="Times New Roman"/>
          <w:szCs w:val="28"/>
          <w:lang w:val="uk-UA"/>
        </w:rPr>
      </w:pPr>
      <w:r w:rsidRPr="000312FA">
        <w:rPr>
          <w:rFonts w:cs="Times New Roman"/>
          <w:b/>
          <w:szCs w:val="28"/>
          <w:lang w:val="uk-UA"/>
        </w:rPr>
        <w:lastRenderedPageBreak/>
        <w:t>Булькач С. П. Напрями удосконалення правового забезпечення взаємодії слідчих та оперативних підрозділів Національної поліції України під час протидії легалізації (відмиванню) майна, одержаного злочинним шляхом</w:t>
      </w:r>
      <w:r w:rsidRPr="000312FA">
        <w:rPr>
          <w:rFonts w:cs="Times New Roman"/>
          <w:szCs w:val="28"/>
          <w:lang w:val="uk-UA"/>
        </w:rPr>
        <w:t xml:space="preserve"> [Електронний ресурс] / Сергій Петрович Булькач // Успіхи і досягнення у науці. – 2026. – № 4. — С. 106-115.  </w:t>
      </w:r>
      <w:r w:rsidRPr="000312FA">
        <w:rPr>
          <w:rFonts w:cs="Times New Roman"/>
          <w:i/>
          <w:szCs w:val="28"/>
          <w:lang w:val="uk-UA"/>
        </w:rPr>
        <w:t>Визначено напрями удосконалення правового забезпечення взаємодії слідчих та оперативних підрозділів Національної поліції України (НПУ) під час протидії легалізації (відмиванню) майна, одержаного злочинним шляхом. Доведено, що існуюча система правового забезпечення взаємодії слідчих та оперативних підрозділів НПУ не враховує специфіку налагодження такої взаємодії під час протидії легалізації (відмиванню) майна, одержаного злочинним шляхом, що може негативно впливати на процес виявлення та розслідування вказаних злочинів. Окрім того, на основі аналізу законодавства України встановлено, що основа взаємодії органів досудового розслідування та оперативних підрозділів кіберполіції під час протидії злочинам у сфері інтелектуальної власності базується на нормах Кримінального процесуального кодексу України (КПК України) та Закону України ”Про оперативно-розшукову діяльність”. Зроблено висновок про доцільність внесення відповідних змін до Положення про Департамент стратегічних розслідувань НПУ, затвердженого наказом НПУ від 23.10.2019 № 1077, а також до положень Інструкції з організації взаємодії органів досудового розслідування з іншими органами та підрозділами НПУ в запобіганні кримінальним правопорушенням, їх виявленні та розслідуванні, затвердженої наказом Міністерства внутрішніх справ України (МВС України) від 07.07.2017 № 575</w:t>
      </w:r>
      <w:r w:rsidRPr="000312FA">
        <w:rPr>
          <w:rFonts w:cs="Times New Roman"/>
          <w:szCs w:val="28"/>
          <w:lang w:val="uk-UA"/>
        </w:rPr>
        <w:t xml:space="preserve">. </w:t>
      </w:r>
      <w:r w:rsidR="00446DCD">
        <w:rPr>
          <w:rFonts w:cs="Times New Roman"/>
          <w:szCs w:val="28"/>
          <w:lang w:val="uk-UA"/>
        </w:rPr>
        <w:t xml:space="preserve">        </w:t>
      </w:r>
      <w:r w:rsidRPr="000312FA">
        <w:rPr>
          <w:rFonts w:cs="Times New Roman"/>
          <w:szCs w:val="28"/>
          <w:lang w:val="uk-UA"/>
        </w:rPr>
        <w:t xml:space="preserve">Текст: </w:t>
      </w:r>
      <w:hyperlink r:id="rId13" w:history="1">
        <w:r w:rsidRPr="000312FA">
          <w:rPr>
            <w:rStyle w:val="a3"/>
            <w:rFonts w:cs="Times New Roman"/>
            <w:szCs w:val="28"/>
            <w:lang w:val="uk-UA"/>
          </w:rPr>
          <w:t>https://perspectives.pp.ua/index.php/sas/article/view/41973/41988</w:t>
        </w:r>
      </w:hyperlink>
    </w:p>
    <w:p w:rsidR="00DD4974" w:rsidRPr="000312FA" w:rsidRDefault="00DD4974" w:rsidP="000312FA">
      <w:pPr>
        <w:pStyle w:val="a7"/>
        <w:numPr>
          <w:ilvl w:val="0"/>
          <w:numId w:val="24"/>
        </w:numPr>
        <w:spacing w:after="120" w:line="360" w:lineRule="auto"/>
        <w:ind w:left="0" w:firstLine="567"/>
        <w:jc w:val="both"/>
        <w:rPr>
          <w:rFonts w:cs="Times New Roman"/>
          <w:szCs w:val="28"/>
          <w:lang w:val="uk-UA"/>
        </w:rPr>
      </w:pPr>
      <w:r w:rsidRPr="000312FA">
        <w:rPr>
          <w:rFonts w:cs="Times New Roman"/>
          <w:b/>
          <w:szCs w:val="28"/>
          <w:lang w:val="uk-UA"/>
        </w:rPr>
        <w:t>Воєнний брендинг: формування іміджу армії та держави засобами цифрового маркетингу</w:t>
      </w:r>
      <w:r w:rsidRPr="000312FA">
        <w:rPr>
          <w:rFonts w:cs="Times New Roman"/>
          <w:szCs w:val="28"/>
          <w:lang w:val="uk-UA"/>
        </w:rPr>
        <w:t xml:space="preserve"> / [Н. В. Писаренко та ін. ; за ред. Н. В. Писаренко, В. Б. Сухомлина] ; Акад. праці, соц. відносин і туризму. — Київ : АПСВТ, 2025. — 353 с. : іл., табл. — Бібліогр. наприкінці розд. </w:t>
      </w:r>
      <w:r w:rsidRPr="000312FA">
        <w:rPr>
          <w:rFonts w:cs="Times New Roman"/>
          <w:b/>
          <w:i/>
          <w:szCs w:val="28"/>
          <w:lang w:val="uk-UA"/>
        </w:rPr>
        <w:t xml:space="preserve">Шифр </w:t>
      </w:r>
      <w:r w:rsidRPr="000312FA">
        <w:rPr>
          <w:rFonts w:cs="Times New Roman"/>
          <w:b/>
          <w:i/>
          <w:szCs w:val="28"/>
          <w:lang w:val="uk-UA"/>
        </w:rPr>
        <w:lastRenderedPageBreak/>
        <w:t>зберігання в Бібліотеці: А844885</w:t>
      </w:r>
      <w:r w:rsidRPr="000312FA">
        <w:rPr>
          <w:rFonts w:cs="Times New Roman"/>
          <w:i/>
          <w:szCs w:val="28"/>
          <w:lang w:val="uk-UA"/>
        </w:rPr>
        <w:t xml:space="preserve"> Монографію присвячено комплексному дослідженню феномену воєнного брендингу як стратегічного ресурсу комунікаційного впливу держави й армії в умовах повномасштабної війни. В міждисциплінарному контексті розкрито теоретико-методологічні засади формування воєнного бренду, його когнітивно-емоційну архітектоніку, функціональні виміри та роль у забезпеченні національної стійкості, соціальної згуртованості та міжнародного іміджу України. Розглянуто кібератаки як сучасний інструмент інформаційної війни. Розкрито особливості інформаційної війни у воєнний час. Висвітлено роль держави та громадськості у протидії дезінформації та захисту бренду армії. Показано особливості вимірювання ефективності цифрового впливу інтегрованих диджитал-стратегій в умовах війни</w:t>
      </w:r>
      <w:r w:rsidRPr="000312FA">
        <w:rPr>
          <w:rFonts w:cs="Times New Roman"/>
          <w:szCs w:val="28"/>
          <w:lang w:val="uk-UA"/>
        </w:rPr>
        <w:t xml:space="preserve">. </w:t>
      </w:r>
    </w:p>
    <w:p w:rsidR="0081700B" w:rsidRPr="000312FA" w:rsidRDefault="00D3106C" w:rsidP="000312FA">
      <w:pPr>
        <w:pStyle w:val="a7"/>
        <w:numPr>
          <w:ilvl w:val="0"/>
          <w:numId w:val="24"/>
        </w:numPr>
        <w:spacing w:after="120" w:line="360" w:lineRule="auto"/>
        <w:ind w:left="0" w:firstLine="567"/>
        <w:jc w:val="both"/>
        <w:rPr>
          <w:rFonts w:cs="Times New Roman"/>
          <w:szCs w:val="28"/>
          <w:lang w:val="uk-UA"/>
        </w:rPr>
      </w:pPr>
      <w:r w:rsidRPr="000312FA">
        <w:rPr>
          <w:rFonts w:cs="Times New Roman"/>
          <w:b/>
          <w:szCs w:val="28"/>
          <w:lang w:val="uk-UA"/>
        </w:rPr>
        <w:t>Гірак Г. Армія потребує людей: з кого можуть зняти бронь і мобілізувати</w:t>
      </w:r>
      <w:r w:rsidRPr="000312FA">
        <w:rPr>
          <w:rFonts w:cs="Times New Roman"/>
          <w:szCs w:val="28"/>
          <w:lang w:val="uk-UA"/>
        </w:rPr>
        <w:t xml:space="preserve"> [Електронний ресурс] / Галина Гірак // Korrespondent.net : [вебсайт]. – 2026. – 5 трав. — Електрон. дані. </w:t>
      </w:r>
      <w:r w:rsidRPr="000312FA">
        <w:rPr>
          <w:rFonts w:cs="Times New Roman"/>
          <w:i/>
          <w:szCs w:val="28"/>
          <w:lang w:val="uk-UA"/>
        </w:rPr>
        <w:t xml:space="preserve">Як зазначив народний депутат Юрій Здебський, найближчим часом в Україні буде проведено комплексну перевірку всіх чинних бронювань військовозобов'язаних у межах можливого реформування відповідної системи. Перевірка охопить не лише працівників підприємств, а й інші категорії громадян, які мають відстрочки, у тому числі й студентів. Член Комітету Верховної Ради України (ВР України) з питань національної безпеки, оборони та розвідки Олександр Федієнко уточнив, що бронювання студентів можуть «переглядатися у напрямку критеріїв навчання - тобто, перша освіта, друга освіта тощо». За словами члена комітету ВР України з питань енергетики та житлово-комунальних послуг Сергія Нагорняка, у ВР України обговорювали ідею часткового перегляду / скасування бронювання для частини працівників критичних підприємств, включно з енергетичним сектором. Нагадано, що зараз бронь надається: в органах влади та самоврядування; у міжнародних гуманітарних організаціях; на підприємствах оборонно-промислового комплексу; у критичній інфраструктурі, пов’язаній із електроенергією, </w:t>
      </w:r>
      <w:r w:rsidRPr="000312FA">
        <w:rPr>
          <w:rFonts w:cs="Times New Roman"/>
          <w:i/>
          <w:szCs w:val="28"/>
          <w:lang w:val="uk-UA"/>
        </w:rPr>
        <w:lastRenderedPageBreak/>
        <w:t>водопостачанням, мобільним зв'язком, аварійними службами; в IT-секторі та кібербезпеці; у медицині; на залізничному транспорті, в метрополітені, логістиці; сільському господарстві. Окреслено терміни відстрочок від мобілізації; з’ясовано, кого можуть не забронювати</w:t>
      </w:r>
      <w:r w:rsidRPr="000312FA">
        <w:rPr>
          <w:rFonts w:cs="Times New Roman"/>
          <w:szCs w:val="28"/>
          <w:lang w:val="uk-UA"/>
        </w:rPr>
        <w:t xml:space="preserve">. Текст: </w:t>
      </w:r>
      <w:hyperlink r:id="rId14" w:history="1">
        <w:r w:rsidRPr="000312FA">
          <w:rPr>
            <w:rStyle w:val="a3"/>
            <w:rFonts w:cs="Times New Roman"/>
            <w:szCs w:val="28"/>
            <w:lang w:val="uk-UA"/>
          </w:rPr>
          <w:t>https://ua.korrespondent.net/articles/4876326-armiia-potrebuie-luidei-z-koho-mozhut-zniaty-bron-i-mobilizuvaty</w:t>
        </w:r>
      </w:hyperlink>
    </w:p>
    <w:p w:rsidR="001661C3" w:rsidRPr="000312FA" w:rsidRDefault="001661C3"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Для державних реєстрів посилюють систему кіберзахисту</w:t>
      </w:r>
      <w:r w:rsidRPr="000312FA">
        <w:rPr>
          <w:rFonts w:cs="Times New Roman"/>
          <w:szCs w:val="28"/>
          <w:lang w:val="uk-UA"/>
        </w:rPr>
        <w:t xml:space="preserve"> [Електронний ресурс] // Юрид. газ. – 2026. – 21 трав. </w:t>
      </w:r>
      <w:r w:rsidR="00446DCD">
        <w:rPr>
          <w:rFonts w:cs="Times New Roman"/>
          <w:szCs w:val="28"/>
          <w:lang w:val="uk-UA"/>
        </w:rPr>
        <w:t>–</w:t>
      </w:r>
      <w:r w:rsidRPr="000312FA">
        <w:rPr>
          <w:rFonts w:cs="Times New Roman"/>
          <w:szCs w:val="28"/>
          <w:lang w:val="uk-UA"/>
        </w:rPr>
        <w:t xml:space="preserve"> Електрон. дані. </w:t>
      </w:r>
      <w:r w:rsidRPr="000312FA">
        <w:rPr>
          <w:rFonts w:cs="Times New Roman"/>
          <w:i/>
          <w:szCs w:val="28"/>
          <w:lang w:val="uk-UA"/>
        </w:rPr>
        <w:t>За повідомленням Міністерства юстиції України, 19 травня підписано чотирьохсторонній Меморандум про співпрацю у сфері кіберзахисту з Адміністрацією Державної служби спеціального зв’язку та захисту інформації України, Державним центром кіберзахисту та ДП "Національні інформаційні системи". Документ передбачає взаємодію між державними органами та профільними установами для захисту інформаційних ресурсів, державних реєстрів та інформаційно-комунікаційних систем від кіберзагроз і кібератак. Зокрема, сторони домовилися про обмін інформацією щодо кіберінцидентів, розвиток спроможностей для своєчасного виявлення і нейтралізації кіберризиків, впровадження сучасних технологій кіберзахисту, а також проведення спільних навчальних, експертних і просвітницьких заходів. У Мін’юсті наголошено, що така співпраця має посилити стійкість державної цифрової інфраструктури в умовах постійних кібератак на українські інформаційні системи та державні сервіси.</w:t>
      </w:r>
      <w:r w:rsidRPr="000312FA">
        <w:rPr>
          <w:rFonts w:cs="Times New Roman"/>
          <w:szCs w:val="28"/>
          <w:lang w:val="uk-UA"/>
        </w:rPr>
        <w:t xml:space="preserve"> Текст: </w:t>
      </w:r>
      <w:hyperlink r:id="rId15" w:history="1">
        <w:r w:rsidRPr="000312FA">
          <w:rPr>
            <w:rStyle w:val="a3"/>
            <w:rFonts w:cs="Times New Roman"/>
            <w:szCs w:val="28"/>
            <w:lang w:val="uk-UA"/>
          </w:rPr>
          <w:t>https://yur-gazeta.com/golovna/dlya-derzhavnih-reestriv-posilyuyut-sistemu-kiberzahistu.html</w:t>
        </w:r>
      </w:hyperlink>
    </w:p>
    <w:p w:rsidR="00593252" w:rsidRPr="000312FA" w:rsidRDefault="00593252"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Кравченко А. За крок від цифрової катастрофи: Іран погрожує перерізати підводні інтернет-кабелі</w:t>
      </w:r>
      <w:r w:rsidRPr="000312FA">
        <w:rPr>
          <w:rFonts w:cs="Times New Roman"/>
          <w:szCs w:val="28"/>
          <w:lang w:val="uk-UA"/>
        </w:rPr>
        <w:t xml:space="preserve"> [Електронний ресурс] / Артем Кравченко // Fakty.ua : [вебсайт]. </w:t>
      </w:r>
      <w:r w:rsidR="00446DCD">
        <w:rPr>
          <w:rFonts w:cs="Times New Roman"/>
          <w:szCs w:val="28"/>
          <w:lang w:val="uk-UA"/>
        </w:rPr>
        <w:t>–</w:t>
      </w:r>
      <w:r w:rsidRPr="000312FA">
        <w:rPr>
          <w:rFonts w:cs="Times New Roman"/>
          <w:szCs w:val="28"/>
          <w:lang w:val="uk-UA"/>
        </w:rPr>
        <w:t xml:space="preserve"> 2026. </w:t>
      </w:r>
      <w:r w:rsidR="00446DCD">
        <w:rPr>
          <w:rFonts w:cs="Times New Roman"/>
          <w:szCs w:val="28"/>
          <w:lang w:val="uk-UA"/>
        </w:rPr>
        <w:t>–</w:t>
      </w:r>
      <w:r w:rsidRPr="000312FA">
        <w:rPr>
          <w:rFonts w:cs="Times New Roman"/>
          <w:szCs w:val="28"/>
          <w:lang w:val="uk-UA"/>
        </w:rPr>
        <w:t xml:space="preserve"> 17 трав. — Електрон. дані. </w:t>
      </w:r>
      <w:r w:rsidRPr="000312FA">
        <w:rPr>
          <w:rFonts w:cs="Times New Roman"/>
          <w:i/>
          <w:szCs w:val="28"/>
          <w:lang w:val="uk-UA"/>
        </w:rPr>
        <w:t xml:space="preserve">За повідомленням ”CNN”, Іран збирається стягувати плату з найбільших світових технологічних компаній за використання інтернет-кабелів, які пролягають по дну Ормузької протоки. Це може спровокувати ”цифрову катастрофу” по всьому світу, адже ці кабелі забезпечують величезний </w:t>
      </w:r>
      <w:r w:rsidRPr="000312FA">
        <w:rPr>
          <w:rFonts w:cs="Times New Roman"/>
          <w:i/>
          <w:szCs w:val="28"/>
          <w:lang w:val="uk-UA"/>
        </w:rPr>
        <w:lastRenderedPageBreak/>
        <w:t>інтернет-трафік і фінансові транзакції між Європою, Азією і Перською затокою. Вказано, що законодавці в Тегерані вже обговорили план стягнення плати за використання кабелів. Іранські ЗМІ загрозливо натякають, що трафік може бути порушений, якщо компанії відмовляться платити. Зауважено, що підводні кабелі — основа глобального зв’язку. Атаки на них позначаться не тільки на швидкості інтернету, а й на банківських системах, військовому зв’язку, хмарній інфраструктурі тощо</w:t>
      </w:r>
      <w:r w:rsidRPr="000312FA">
        <w:rPr>
          <w:rFonts w:cs="Times New Roman"/>
          <w:szCs w:val="28"/>
          <w:lang w:val="uk-UA"/>
        </w:rPr>
        <w:t xml:space="preserve">. Текст: </w:t>
      </w:r>
      <w:hyperlink r:id="rId16" w:history="1">
        <w:r w:rsidRPr="000312FA">
          <w:rPr>
            <w:rStyle w:val="a3"/>
            <w:rFonts w:cs="Times New Roman"/>
            <w:szCs w:val="28"/>
            <w:lang w:val="uk-UA"/>
          </w:rPr>
          <w:t>https://fakty.ua/472002-v-shage-ot-cifrovoj-katastrofy-iran-ugrozhaet-pererezat-podvodnye-internet-kabeli</w:t>
        </w:r>
      </w:hyperlink>
    </w:p>
    <w:p w:rsidR="00B30A57" w:rsidRPr="000312FA" w:rsidRDefault="00B30A57"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Лугіна Н. А. Європейська конвенція про кіберзлочинність як ключовий інструмент кримінально-правової охорони суспільних відносин у кіберпросторі України</w:t>
      </w:r>
      <w:r w:rsidRPr="000312FA">
        <w:rPr>
          <w:rFonts w:cs="Times New Roman"/>
          <w:szCs w:val="28"/>
          <w:lang w:val="uk-UA"/>
        </w:rPr>
        <w:t xml:space="preserve"> [Електронний ресурс] / Наталія Анатоліївна Лугіна, Юрій Олександрович Радванський, Юлія Олександрівна Добровольська // Журн. східноєвроп. права : [електрон. наук.-практ. вид.] / ПВНЗ “Ун-т сучас. знань”. – 2026. – № 145. – С. 202-208.  </w:t>
      </w:r>
      <w:r w:rsidRPr="000312FA">
        <w:rPr>
          <w:rFonts w:cs="Times New Roman"/>
          <w:i/>
          <w:szCs w:val="28"/>
          <w:lang w:val="uk-UA"/>
        </w:rPr>
        <w:t xml:space="preserve">Здійснено комплексне дослідження ролі Європейської конвенції про кіберзлочинність як ключового міжнародно-правового інструменту кримінально-правової охорони суспільних відносин у кіберпросторі. Вказано на стрімкий розвиток інформаційних технологій та зростання кількості кіберзлочинів, що створюють суттєві загрози національній безпеці, правам і свободам громадян та стабільності держави. Проаналізовано поняття та основні види кіберзлочинів, їх специфічні ознаки, а також особливості правового регулювання суспільних відносин у кіберпросторі. Окрему увагу приділено дослідженню структури та змісту Європейської конвенції про кіберзлочинність, зокрема її положень щодо криміналізації діянь, процесуальних механізмів розслідування та міжнародного співробітництва. Визначено, що Конвенція виступає фундаментом для уніфікації кримінально-правових норм держав </w:t>
      </w:r>
      <w:r w:rsidR="00446DCD">
        <w:rPr>
          <w:rFonts w:cs="Times New Roman"/>
          <w:i/>
          <w:szCs w:val="28"/>
          <w:lang w:val="uk-UA"/>
        </w:rPr>
        <w:t>і</w:t>
      </w:r>
      <w:r w:rsidRPr="000312FA">
        <w:rPr>
          <w:rFonts w:cs="Times New Roman"/>
          <w:i/>
          <w:szCs w:val="28"/>
          <w:lang w:val="uk-UA"/>
        </w:rPr>
        <w:t xml:space="preserve"> забезпечує ефективну взаємодію між правоохоронними органами різних країн у боротьбі з  кіберзлочинністю. Встановлено наявність певних проблем імплементації її положень у </w:t>
      </w:r>
      <w:r w:rsidRPr="000312FA">
        <w:rPr>
          <w:rFonts w:cs="Times New Roman"/>
          <w:i/>
          <w:szCs w:val="28"/>
          <w:lang w:val="uk-UA"/>
        </w:rPr>
        <w:lastRenderedPageBreak/>
        <w:t>національне законодавство України, зокрема у частині уніфікації термінології, визначення складів кіберзлочинів та адаптації процесуальних механізмів до сучасних технологічних викликів. Обґрунтовано необхідність удосконалення кримінально-правових механізмів протидії кіберзлочинності в Україні шляхом гармонізації національного законодавства з міжнародними стандартами, розвитку міжнародного співробітництва та впровадження інноваційних підходів дорозслідування злочинів у цифровому середовищі</w:t>
      </w:r>
      <w:r w:rsidRPr="000312FA">
        <w:rPr>
          <w:rFonts w:cs="Times New Roman"/>
          <w:szCs w:val="28"/>
          <w:lang w:val="uk-UA"/>
        </w:rPr>
        <w:t xml:space="preserve">. Текст: </w:t>
      </w:r>
      <w:hyperlink r:id="rId17" w:history="1">
        <w:r w:rsidRPr="000312FA">
          <w:rPr>
            <w:rStyle w:val="a3"/>
            <w:rFonts w:cs="Times New Roman"/>
            <w:szCs w:val="28"/>
            <w:lang w:val="uk-UA"/>
          </w:rPr>
          <w:t>http://easternlaw.com.ua/wp-content/uploads/2026/04/luhina_radvanskyi_dobrovolska_145.pdf</w:t>
        </w:r>
      </w:hyperlink>
    </w:p>
    <w:p w:rsidR="00D3106C" w:rsidRPr="000312FA" w:rsidRDefault="007859B1"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Павло Фролов: Україна буде посилювати боротьбу з кібершпигунством шляхом приєднання до міжнародних ініціатив у відповідній сфері</w:t>
      </w:r>
      <w:r w:rsidRPr="000312FA">
        <w:rPr>
          <w:rFonts w:cs="Times New Roman"/>
          <w:szCs w:val="28"/>
          <w:lang w:val="uk-UA"/>
        </w:rPr>
        <w:t xml:space="preserve"> [Електронний ресурс] / Прес-служба Апарату Верхов. Ради України // Голос України. – 2026. – 8 трав. [№ 591]. – Електрон. дані. </w:t>
      </w:r>
      <w:r w:rsidRPr="000312FA">
        <w:rPr>
          <w:rFonts w:cs="Times New Roman"/>
          <w:i/>
          <w:szCs w:val="28"/>
          <w:lang w:val="uk-UA"/>
        </w:rPr>
        <w:t>Як розповів член фракції «Слуга Народу», член парламентського Комітету з питань бюджету Павло Фролов, який є співголовою МДО «Платформа технологічної дипломатії України», Міжфракційне депутатське об'єднання «Платформа технологічної дипломатії України» разом із представниками сектора безпеки провели засідання, під час якого обговорили спільне з Радою економічної безпеки України дослідження щодо міжнародного регулювання комерційних інструментів кібершпигунства. За його словами, за підсумками зустрічі було ухвалено рішення запропонувати приєднання України до міжнародних ініціатив у сфері боротьби з кібершпигунством. Він додав, що «Pall Mall Process» – це міжнародна ініціатива, яка є одним із перспективних міжнародних механізмів формування добровільних норм і принципів використання комерційних інструментів кіберрозвідки.</w:t>
      </w:r>
      <w:r w:rsidRPr="000312FA">
        <w:rPr>
          <w:rFonts w:cs="Times New Roman"/>
          <w:szCs w:val="28"/>
          <w:lang w:val="uk-UA"/>
        </w:rPr>
        <w:t xml:space="preserve"> Текст: </w:t>
      </w:r>
      <w:hyperlink r:id="rId18" w:history="1">
        <w:r w:rsidRPr="000312FA">
          <w:rPr>
            <w:rStyle w:val="a3"/>
            <w:rFonts w:cs="Times New Roman"/>
            <w:szCs w:val="28"/>
            <w:lang w:val="uk-UA"/>
          </w:rPr>
          <w:t>https://www.golos.com.ua/article/391151</w:t>
        </w:r>
      </w:hyperlink>
    </w:p>
    <w:p w:rsidR="001119D4" w:rsidRPr="000312FA" w:rsidRDefault="001119D4"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Порядченко Л.</w:t>
      </w:r>
      <w:r w:rsidR="00555EDC" w:rsidRPr="00446DCD">
        <w:rPr>
          <w:rFonts w:cs="Times New Roman"/>
          <w:b/>
          <w:szCs w:val="28"/>
          <w:lang w:val="uk-UA"/>
        </w:rPr>
        <w:t xml:space="preserve"> </w:t>
      </w:r>
      <w:r w:rsidRPr="00446DCD">
        <w:rPr>
          <w:rFonts w:cs="Times New Roman"/>
          <w:b/>
          <w:szCs w:val="28"/>
          <w:lang w:val="uk-UA"/>
        </w:rPr>
        <w:t>Формування інформаційної та медіа безпеки в сучасному освітньому просторі</w:t>
      </w:r>
      <w:r w:rsidRPr="000312FA">
        <w:rPr>
          <w:rFonts w:cs="Times New Roman"/>
          <w:b/>
          <w:szCs w:val="28"/>
          <w:lang w:val="uk-UA"/>
        </w:rPr>
        <w:t xml:space="preserve"> </w:t>
      </w:r>
      <w:r w:rsidRPr="000312FA">
        <w:rPr>
          <w:rFonts w:cs="Times New Roman"/>
          <w:szCs w:val="28"/>
          <w:lang w:val="uk-UA"/>
        </w:rPr>
        <w:t>[Електронний ресурс] /  Л. Порядченко,</w:t>
      </w:r>
      <w:r w:rsidR="00446DCD">
        <w:rPr>
          <w:rFonts w:cs="Times New Roman"/>
          <w:szCs w:val="28"/>
          <w:lang w:val="uk-UA"/>
        </w:rPr>
        <w:br/>
      </w:r>
      <w:r w:rsidRPr="000312FA">
        <w:rPr>
          <w:rFonts w:cs="Times New Roman"/>
          <w:szCs w:val="28"/>
          <w:lang w:val="uk-UA"/>
        </w:rPr>
        <w:t>О. Лутченко //  Молодий вч</w:t>
      </w:r>
      <w:r w:rsidR="00446DCD">
        <w:rPr>
          <w:rFonts w:cs="Times New Roman"/>
          <w:szCs w:val="28"/>
          <w:lang w:val="uk-UA"/>
        </w:rPr>
        <w:t>ений. –</w:t>
      </w:r>
      <w:r w:rsidRPr="000312FA">
        <w:rPr>
          <w:rFonts w:cs="Times New Roman"/>
          <w:szCs w:val="28"/>
          <w:lang w:val="uk-UA"/>
        </w:rPr>
        <w:t xml:space="preserve"> 2026. </w:t>
      </w:r>
      <w:r w:rsidR="00446DCD">
        <w:rPr>
          <w:rFonts w:cs="Times New Roman"/>
          <w:szCs w:val="28"/>
          <w:lang w:val="uk-UA"/>
        </w:rPr>
        <w:t>–</w:t>
      </w:r>
      <w:r w:rsidRPr="000312FA">
        <w:rPr>
          <w:rFonts w:cs="Times New Roman"/>
          <w:szCs w:val="28"/>
          <w:lang w:val="uk-UA"/>
        </w:rPr>
        <w:t xml:space="preserve"> № 2 (139). </w:t>
      </w:r>
      <w:r w:rsidR="00446DCD">
        <w:rPr>
          <w:rFonts w:cs="Times New Roman"/>
          <w:szCs w:val="28"/>
          <w:lang w:val="uk-UA"/>
        </w:rPr>
        <w:t>–</w:t>
      </w:r>
      <w:r w:rsidRPr="000312FA">
        <w:rPr>
          <w:rFonts w:cs="Times New Roman"/>
          <w:szCs w:val="28"/>
          <w:lang w:val="uk-UA"/>
        </w:rPr>
        <w:t xml:space="preserve"> Електрон. дані. </w:t>
      </w:r>
      <w:r w:rsidRPr="000312FA">
        <w:rPr>
          <w:rFonts w:cs="Times New Roman"/>
          <w:i/>
          <w:szCs w:val="28"/>
          <w:lang w:val="uk-UA"/>
        </w:rPr>
        <w:t xml:space="preserve">Здійснено комплексне дослідження проблеми формування інформаційної та </w:t>
      </w:r>
      <w:r w:rsidRPr="000312FA">
        <w:rPr>
          <w:rFonts w:cs="Times New Roman"/>
          <w:i/>
          <w:szCs w:val="28"/>
          <w:lang w:val="uk-UA"/>
        </w:rPr>
        <w:lastRenderedPageBreak/>
        <w:t>медіабезпеки учнів у сучасному освітньому середовищі. Проаналізовано сутність понять «інформаційна безпека» та «медіабезпека», визначено їх місце в структурі сучасної освіти. Обґрунтовано необхідність формування медіаграмотності як ключової компетентності особистості в умовах інформаційного суспільства. Розкрито педагогічні умови формування інформаційної та медіабезпеки учнів, зокрема інтеграцію медіаосвіти в навчальний процес, використання інтерактивних методів навчання, розвиток критичного мислення та цифрової грамотності. Визначено роль навчальних дисциплін, зокрема предмета «Захист України», у формуванні навичок протидії інформаційним загрозам. Вказано, що системне впровадження медіаосвітніх технологій сприяє підвищенню рівня інформаційної культури учнів, розвитку їх аналітичних здібностей та формуванню відповідальної поведінки в цифровому середовищі</w:t>
      </w:r>
      <w:r w:rsidRPr="000312FA">
        <w:rPr>
          <w:rFonts w:cs="Times New Roman"/>
          <w:szCs w:val="28"/>
          <w:lang w:val="uk-UA"/>
        </w:rPr>
        <w:t xml:space="preserve">. Текст : </w:t>
      </w:r>
      <w:hyperlink r:id="rId19" w:history="1">
        <w:r w:rsidRPr="000312FA">
          <w:rPr>
            <w:rStyle w:val="a3"/>
            <w:rFonts w:cs="Times New Roman"/>
            <w:szCs w:val="28"/>
            <w:lang w:val="uk-UA"/>
          </w:rPr>
          <w:t>https://molodyivchenyi.ua/index.php/journal/article/view/6622</w:t>
        </w:r>
      </w:hyperlink>
    </w:p>
    <w:p w:rsidR="002445C7" w:rsidRPr="00446DCD" w:rsidRDefault="002445C7" w:rsidP="000312FA">
      <w:pPr>
        <w:pStyle w:val="a7"/>
        <w:numPr>
          <w:ilvl w:val="0"/>
          <w:numId w:val="24"/>
        </w:numPr>
        <w:spacing w:after="120" w:line="360" w:lineRule="auto"/>
        <w:ind w:left="0" w:firstLine="567"/>
        <w:jc w:val="both"/>
        <w:rPr>
          <w:rFonts w:cs="Times New Roman"/>
          <w:i/>
          <w:szCs w:val="28"/>
          <w:lang w:val="uk-UA"/>
        </w:rPr>
      </w:pPr>
      <w:r w:rsidRPr="00446DCD">
        <w:rPr>
          <w:rFonts w:cs="Times New Roman"/>
          <w:b/>
          <w:szCs w:val="28"/>
          <w:lang w:val="uk-UA"/>
        </w:rPr>
        <w:t>Пушкар О. А. Розвиток державної інформаційної політики України: практичні механізми, теоретичні та методологічні підходи</w:t>
      </w:r>
      <w:r w:rsidRPr="00446DCD">
        <w:rPr>
          <w:rFonts w:cs="Times New Roman"/>
          <w:szCs w:val="28"/>
          <w:lang w:val="uk-UA"/>
        </w:rPr>
        <w:t xml:space="preserve"> / Олег Пушкар ; М-во освіти і науки України, Тавр. нац. ун-т ім. В. І. Вернадського. — Київ : Юрінком Інтер, 2025. — 459 с. : іл., табл. — Бібліогр.: с. 397–441. </w:t>
      </w:r>
      <w:r w:rsidRPr="00446DCD">
        <w:rPr>
          <w:rFonts w:cs="Times New Roman"/>
          <w:b/>
          <w:i/>
          <w:szCs w:val="28"/>
          <w:lang w:val="uk-UA"/>
        </w:rPr>
        <w:t xml:space="preserve">Шифр зберігання в Бібліотеці: Б378126 </w:t>
      </w:r>
      <w:r w:rsidRPr="00446DCD">
        <w:rPr>
          <w:rFonts w:cs="Times New Roman"/>
          <w:i/>
          <w:szCs w:val="28"/>
          <w:lang w:val="uk-UA"/>
        </w:rPr>
        <w:t xml:space="preserve">Розглянуто глобальний і регіональний виміри розвитку інформаційного простору, роль інформаційних ресурсів та органів управління в системі державної політики, а також специфіку їх взаємодії у цифрову добу. У центрі уваги перебувають функціонально-організаційні засади інформаційної політики, включно із захистом персональних даних, забезпеченням інформаційної безпеки та модернізацією політичної системи. Значну увагу приділено правовим механізмам регулювання інформаційної сфери, впливу цифрових технологій, розвитку цифрової демократії та подоланню викликів дезінформації і маніпуляцій у цифровому середовищі. Окремий розділ присвячено оцінці ефективності реалізації державної інформаційної політики в Україні, зокрема у сфері кібербезпеки, цифрової трансформації та уніфікації </w:t>
      </w:r>
      <w:r w:rsidRPr="00446DCD">
        <w:rPr>
          <w:rFonts w:cs="Times New Roman"/>
          <w:i/>
          <w:szCs w:val="28"/>
          <w:lang w:val="uk-UA"/>
        </w:rPr>
        <w:lastRenderedPageBreak/>
        <w:t xml:space="preserve">законодавства із європейськими стандартами. Важливим напрямом дослідження є аналіз європейського досвіду, партнерства з ЄС та формування єдиного цифрового ринку. </w:t>
      </w:r>
    </w:p>
    <w:p w:rsidR="007859B1" w:rsidRPr="000312FA" w:rsidRDefault="00DE5A2D"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Савінцев С. Папа Римський створить у Ватикані комісію, що опікуватиметься штучним інтелектом</w:t>
      </w:r>
      <w:r w:rsidRPr="000312FA">
        <w:rPr>
          <w:rFonts w:cs="Times New Roman"/>
          <w:szCs w:val="28"/>
          <w:lang w:val="uk-UA"/>
        </w:rPr>
        <w:t xml:space="preserve"> [Електронний ресурс] / Сергій Савінцев // Focus.ua : [вебсайт]. </w:t>
      </w:r>
      <w:r w:rsidR="00446DCD">
        <w:rPr>
          <w:rFonts w:cs="Times New Roman"/>
          <w:szCs w:val="28"/>
          <w:lang w:val="uk-UA"/>
        </w:rPr>
        <w:t>–</w:t>
      </w:r>
      <w:r w:rsidRPr="000312FA">
        <w:rPr>
          <w:rFonts w:cs="Times New Roman"/>
          <w:szCs w:val="28"/>
          <w:lang w:val="uk-UA"/>
        </w:rPr>
        <w:t xml:space="preserve"> 2026. </w:t>
      </w:r>
      <w:r w:rsidR="00446DCD">
        <w:rPr>
          <w:rFonts w:cs="Times New Roman"/>
          <w:szCs w:val="28"/>
          <w:lang w:val="uk-UA"/>
        </w:rPr>
        <w:t>–</w:t>
      </w:r>
      <w:r w:rsidRPr="000312FA">
        <w:rPr>
          <w:rFonts w:cs="Times New Roman"/>
          <w:szCs w:val="28"/>
          <w:lang w:val="uk-UA"/>
        </w:rPr>
        <w:t xml:space="preserve"> 18 трав. — Електрон. дані. </w:t>
      </w:r>
      <w:r w:rsidRPr="000312FA">
        <w:rPr>
          <w:rFonts w:cs="Times New Roman"/>
          <w:i/>
          <w:szCs w:val="28"/>
          <w:lang w:val="uk-UA"/>
        </w:rPr>
        <w:t>За повідомленням ”Politico”, Папа Римський Лев XIV створює спеціальну комісію зі штучного інтелекту (ШІ), яка координуватиме позицію та дії Католицької церкви щодо розвитку ШІ. Вказано, що рішення ухвалили через стрімке поширення технологій ШІ, їхній потенційний вплив на людство та занепокоєння церкви питаннями людської гідності. Очікується, що комісія працюватиме паралельно з підготовкою першої енцикліки Папи Лева XIV — офіційного послання, у якому понтифік планує приділити особливу увагу етичним аспектам ШІ, а також його впливу на працю, справедливість і мир у світі. Зазначено, що Папа Лев XIV уже неодноразово висловлювався щодо ризиків, пов’язаних із ШІ. Після свого обрання він заявив, що Католицька Церква має запропонувати світові моральні орієнтири для реагування на виклики, які створює ШІ. За його словами, технології мають допомагати молодому поколінню розвиватися, а не перешкоджати формуванню відповідальності та зрілості.</w:t>
      </w:r>
      <w:r w:rsidRPr="000312FA">
        <w:rPr>
          <w:rFonts w:cs="Times New Roman"/>
          <w:szCs w:val="28"/>
          <w:lang w:val="uk-UA"/>
        </w:rPr>
        <w:t xml:space="preserve"> Текст: </w:t>
      </w:r>
      <w:hyperlink r:id="rId20" w:anchor="goog_rewarded" w:history="1">
        <w:r w:rsidRPr="000312FA">
          <w:rPr>
            <w:rStyle w:val="a3"/>
            <w:rFonts w:cs="Times New Roman"/>
            <w:szCs w:val="28"/>
            <w:lang w:val="uk-UA"/>
          </w:rPr>
          <w:t>https://focus.ua/uk/world/754554-papa-rimskiy-lev-xiv-stvorit-komisiyu-dlya-ocinki-vplivu-shi-na-lyudstvo-politico#goog_rewarded</w:t>
        </w:r>
      </w:hyperlink>
    </w:p>
    <w:p w:rsidR="00DE5A2D" w:rsidRPr="000312FA" w:rsidRDefault="00967EF9" w:rsidP="000312FA">
      <w:pPr>
        <w:pStyle w:val="a7"/>
        <w:numPr>
          <w:ilvl w:val="0"/>
          <w:numId w:val="24"/>
        </w:numPr>
        <w:spacing w:after="120" w:line="360" w:lineRule="auto"/>
        <w:ind w:left="0" w:firstLine="567"/>
        <w:jc w:val="both"/>
        <w:rPr>
          <w:rFonts w:cs="Times New Roman"/>
          <w:szCs w:val="28"/>
          <w:lang w:val="uk-UA"/>
        </w:rPr>
      </w:pPr>
      <w:r w:rsidRPr="00446DCD">
        <w:rPr>
          <w:rFonts w:cs="Times New Roman"/>
          <w:b/>
          <w:szCs w:val="28"/>
          <w:lang w:val="uk-UA"/>
        </w:rPr>
        <w:t>Сливар Н. М. Дані електронного листування в месенджерах як цифрові докази у кримінальному провадженні щодо неповнолітніх</w:t>
      </w:r>
      <w:r w:rsidRPr="000312FA">
        <w:rPr>
          <w:rFonts w:cs="Times New Roman"/>
          <w:szCs w:val="28"/>
          <w:lang w:val="uk-UA"/>
        </w:rPr>
        <w:t xml:space="preserve"> [Електронний ресурс] / Н. М. Сливар // Юрид. наук. електрон. журн. – 2026. – № 3. – С. 329-333.  </w:t>
      </w:r>
      <w:r w:rsidRPr="000312FA">
        <w:rPr>
          <w:rFonts w:cs="Times New Roman"/>
          <w:i/>
          <w:szCs w:val="28"/>
          <w:lang w:val="uk-UA"/>
        </w:rPr>
        <w:t xml:space="preserve">Досліджено дані електронного листування в месенджерах як різновиду цифрових доказів через призму кримінального провадження щодо неповнолітніх. Зазначено, що в умовах стрімкої цифровізації комунікацій месенджери (Telegram, Viber, WhatsApp, Signal та ін.) перетворились на основний канал міжособистісної взаємодії </w:t>
      </w:r>
      <w:r w:rsidRPr="000312FA">
        <w:rPr>
          <w:rFonts w:cs="Times New Roman"/>
          <w:i/>
          <w:szCs w:val="28"/>
          <w:lang w:val="uk-UA"/>
        </w:rPr>
        <w:lastRenderedPageBreak/>
        <w:t>неповнолітніх осіб, відтак наявність даних месенджерів як потенційних доказів у кримінальних провадженнях набула системного характеру. Вказано на важливість протидії залученню неповнолітніх до вчинення кримінальних правопорушень на замовлення ворожих спецслужб, де листування між підлітком і куратором злочинних діянь нерідко є вирішальним доказом. На підставі аналізу чинної редакції Кримінального процесуального кодексу України (КПК України) здійснено розмежування суміжних понять "дані електронного листування", "цифрові дані", "цифрові докази", "електронні документи" з урахуванням положень стандарту ДСТУ ISO/IEC 27037:2017 і Будапештської конвенції про кіберзлочинність. Констатовано, що дані електронного листування в месенджерах за чинним законодавством кваліфікуються як документ, водночас за своїм змістом вони становлять цифрові докази, що потребують самостійного процесуального регулювання.</w:t>
      </w:r>
      <w:r w:rsidRPr="000312FA">
        <w:rPr>
          <w:rFonts w:cs="Times New Roman"/>
          <w:szCs w:val="28"/>
          <w:lang w:val="uk-UA"/>
        </w:rPr>
        <w:t xml:space="preserve"> Текст: </w:t>
      </w:r>
      <w:hyperlink r:id="rId21" w:history="1">
        <w:r w:rsidRPr="000312FA">
          <w:rPr>
            <w:rStyle w:val="a3"/>
            <w:rFonts w:cs="Times New Roman"/>
            <w:szCs w:val="28"/>
            <w:lang w:val="uk-UA"/>
          </w:rPr>
          <w:t>https://lsej.org.ua/3_2026/74.pdf</w:t>
        </w:r>
      </w:hyperlink>
    </w:p>
    <w:p w:rsidR="00967EF9" w:rsidRPr="000312FA" w:rsidRDefault="00450D38" w:rsidP="000312FA">
      <w:pPr>
        <w:pStyle w:val="a7"/>
        <w:numPr>
          <w:ilvl w:val="0"/>
          <w:numId w:val="24"/>
        </w:numPr>
        <w:spacing w:after="120" w:line="360" w:lineRule="auto"/>
        <w:ind w:left="0" w:firstLine="567"/>
        <w:jc w:val="both"/>
        <w:rPr>
          <w:rFonts w:cs="Times New Roman"/>
          <w:szCs w:val="28"/>
          <w:lang w:val="uk-UA"/>
        </w:rPr>
      </w:pPr>
      <w:r w:rsidRPr="000312FA">
        <w:rPr>
          <w:rFonts w:cs="Times New Roman"/>
          <w:b/>
          <w:szCs w:val="28"/>
          <w:lang w:val="uk-UA"/>
        </w:rPr>
        <w:t>Юзікова Н. С. Протидія кіберзлочинам із використанням штучного інтелекту в сфері туризму: національний та міжнародно-правовий виміри</w:t>
      </w:r>
      <w:r w:rsidRPr="000312FA">
        <w:rPr>
          <w:rFonts w:cs="Times New Roman"/>
          <w:szCs w:val="28"/>
          <w:lang w:val="uk-UA"/>
        </w:rPr>
        <w:t xml:space="preserve"> [Електронний ресурс] / Н. С. Юзікова, С. І. Хом’яченко, М. Є. Дроздов // Юрид. наук. електрон. журн. – 2026. – № 4. – С. 193-197.  </w:t>
      </w:r>
      <w:r w:rsidRPr="000312FA">
        <w:rPr>
          <w:rFonts w:cs="Times New Roman"/>
          <w:i/>
          <w:szCs w:val="28"/>
          <w:lang w:val="uk-UA"/>
        </w:rPr>
        <w:t xml:space="preserve">Проаналізовано сучасний стан </w:t>
      </w:r>
      <w:r w:rsidR="00EB604F">
        <w:rPr>
          <w:rFonts w:cs="Times New Roman"/>
          <w:i/>
          <w:szCs w:val="28"/>
          <w:lang w:val="uk-UA"/>
        </w:rPr>
        <w:t>і</w:t>
      </w:r>
      <w:r w:rsidRPr="000312FA">
        <w:rPr>
          <w:rFonts w:cs="Times New Roman"/>
          <w:i/>
          <w:szCs w:val="28"/>
          <w:lang w:val="uk-UA"/>
        </w:rPr>
        <w:t xml:space="preserve"> тенденції протидії кіберзлочинності в індустрії туризму в умовах стрімкого розвитку технологій штучного інтелекту (ШІ). Розглянуто міжнародно-правовий фундамент, зокрема положення Будапештської конвенції, та їх адаптацію до викликів цифрової епохи. Відзначено фундаментальну роль Декларації Блетчлі 2023 р. як глобальної платформи для постійного обміну розвідувальними даними та колективного реагування правоохоронних органів на транскордонні кіберзлочини. Обгрунтовано доцільність криміналізації діянь, пов’язаних із розробкою та використанням ШІ-інструментів для вчинення кримінальних правопорушень у сфері туризму, враховуючи специфіку транскордонної суб’єктності правопорушників. Зроблено висновок, що ефективна протидія ШІ-кіберзлочинам та безпечна </w:t>
      </w:r>
      <w:r w:rsidRPr="00EB604F">
        <w:rPr>
          <w:rFonts w:cs="Times New Roman"/>
          <w:i/>
          <w:szCs w:val="28"/>
          <w:lang w:val="uk-UA"/>
        </w:rPr>
        <w:t>інтеграція</w:t>
      </w:r>
      <w:r w:rsidRPr="000312FA">
        <w:rPr>
          <w:rFonts w:cs="Times New Roman"/>
          <w:i/>
          <w:szCs w:val="28"/>
          <w:lang w:val="uk-UA"/>
        </w:rPr>
        <w:t xml:space="preserve"> цих технологій у систему </w:t>
      </w:r>
      <w:r w:rsidRPr="000312FA">
        <w:rPr>
          <w:rFonts w:cs="Times New Roman"/>
          <w:i/>
          <w:szCs w:val="28"/>
          <w:lang w:val="uk-UA"/>
        </w:rPr>
        <w:lastRenderedPageBreak/>
        <w:t>національного кіберзахисту вимагають комплексної синергії: від міжнародного співробітництва і жорсткого кримінального переслідування до збереження інституційного контролю, що дозволить перетворити ШІ із потенційної вразливості на фундаментальний інструмент довгострокової кіберстійкості держави.</w:t>
      </w:r>
      <w:r w:rsidRPr="000312FA">
        <w:rPr>
          <w:rFonts w:cs="Times New Roman"/>
          <w:szCs w:val="28"/>
          <w:lang w:val="uk-UA"/>
        </w:rPr>
        <w:t xml:space="preserve"> Текст: </w:t>
      </w:r>
      <w:hyperlink r:id="rId22" w:history="1">
        <w:r w:rsidRPr="000312FA">
          <w:rPr>
            <w:rStyle w:val="a3"/>
            <w:rFonts w:cs="Times New Roman"/>
            <w:szCs w:val="28"/>
            <w:lang w:val="uk-UA"/>
          </w:rPr>
          <w:t>https://lsej.org.ua/4_2026/43.pdf</w:t>
        </w:r>
      </w:hyperlink>
    </w:p>
    <w:p w:rsidR="00450D38" w:rsidRPr="00450D38" w:rsidRDefault="00450D38" w:rsidP="00450D38">
      <w:pPr>
        <w:spacing w:line="360" w:lineRule="auto"/>
        <w:jc w:val="both"/>
        <w:rPr>
          <w:rFonts w:cs="Times New Roman"/>
          <w:szCs w:val="28"/>
          <w:lang w:val="uk-UA"/>
        </w:rPr>
      </w:pPr>
    </w:p>
    <w:p w:rsidR="00E340FE" w:rsidRDefault="00E340FE" w:rsidP="00CF145B">
      <w:pPr>
        <w:rPr>
          <w:rFonts w:cs="Times New Roman"/>
          <w:b/>
          <w:sz w:val="24"/>
          <w:szCs w:val="24"/>
          <w:lang w:val="uk-UA"/>
        </w:rPr>
      </w:pPr>
    </w:p>
    <w:p w:rsidR="00E340FE" w:rsidRDefault="00E340FE" w:rsidP="00CF145B">
      <w:pPr>
        <w:rPr>
          <w:rFonts w:cs="Times New Roman"/>
          <w:b/>
          <w:sz w:val="24"/>
          <w:szCs w:val="24"/>
          <w:lang w:val="uk-UA"/>
        </w:rPr>
      </w:pPr>
    </w:p>
    <w:p w:rsidR="00E340FE" w:rsidRDefault="00E340FE" w:rsidP="00CF145B">
      <w:pPr>
        <w:rPr>
          <w:rFonts w:cs="Times New Roman"/>
          <w:b/>
          <w:sz w:val="24"/>
          <w:szCs w:val="24"/>
          <w:lang w:val="uk-UA"/>
        </w:rPr>
      </w:pPr>
    </w:p>
    <w:p w:rsidR="00E340FE" w:rsidRDefault="00E340FE" w:rsidP="00CF145B">
      <w:pPr>
        <w:rPr>
          <w:rFonts w:cs="Times New Roman"/>
          <w:b/>
          <w:sz w:val="24"/>
          <w:szCs w:val="24"/>
          <w:lang w:val="uk-UA"/>
        </w:rPr>
      </w:pPr>
    </w:p>
    <w:p w:rsidR="00CF145B" w:rsidRPr="00CF145B" w:rsidRDefault="00E340FE" w:rsidP="00CF145B">
      <w:pPr>
        <w:rPr>
          <w:rFonts w:cs="Times New Roman"/>
          <w:sz w:val="24"/>
          <w:szCs w:val="24"/>
          <w:lang w:val="uk-UA"/>
        </w:rPr>
      </w:pPr>
      <w:r>
        <w:rPr>
          <w:rFonts w:cs="Times New Roman"/>
          <w:b/>
          <w:sz w:val="24"/>
          <w:szCs w:val="24"/>
          <w:lang w:val="uk-UA"/>
        </w:rPr>
        <w:t>29</w:t>
      </w:r>
      <w:r w:rsidR="00CF145B" w:rsidRPr="00CF145B">
        <w:rPr>
          <w:rFonts w:cs="Times New Roman"/>
          <w:b/>
          <w:sz w:val="24"/>
          <w:szCs w:val="24"/>
          <w:lang w:val="uk-UA"/>
        </w:rPr>
        <w:t>.</w:t>
      </w:r>
      <w:r w:rsidR="00247F02">
        <w:rPr>
          <w:rFonts w:cs="Times New Roman"/>
          <w:b/>
          <w:sz w:val="24"/>
          <w:szCs w:val="24"/>
          <w:lang w:val="uk-UA"/>
        </w:rPr>
        <w:t>0</w:t>
      </w:r>
      <w:r>
        <w:rPr>
          <w:rFonts w:cs="Times New Roman"/>
          <w:b/>
          <w:sz w:val="24"/>
          <w:szCs w:val="24"/>
          <w:lang w:val="uk-UA"/>
        </w:rPr>
        <w:t>5</w:t>
      </w:r>
      <w:r w:rsidR="00CF145B" w:rsidRPr="00CF145B">
        <w:rPr>
          <w:rFonts w:cs="Times New Roman"/>
          <w:b/>
          <w:sz w:val="24"/>
          <w:szCs w:val="24"/>
          <w:lang w:val="uk-UA"/>
        </w:rPr>
        <w:t>.2026.</w:t>
      </w:r>
      <w:r w:rsidR="00CF145B" w:rsidRPr="00CF145B">
        <w:rPr>
          <w:rFonts w:cs="Times New Roman"/>
          <w:b/>
          <w:sz w:val="24"/>
          <w:szCs w:val="24"/>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 xml:space="preserve">Укладач: </w:t>
      </w:r>
      <w:r w:rsidR="00C16454">
        <w:rPr>
          <w:rFonts w:eastAsia="Times New Roman" w:cs="Times New Roman"/>
          <w:b/>
          <w:bCs/>
          <w:color w:val="000000"/>
          <w:sz w:val="24"/>
          <w:szCs w:val="24"/>
          <w:lang w:val="uk-UA" w:eastAsia="ru-RU"/>
        </w:rPr>
        <w:t>Гриценко Н. О.</w:t>
      </w:r>
      <w:r w:rsidRPr="00CF145B">
        <w:rPr>
          <w:rFonts w:eastAsia="Times New Roman" w:cs="Times New Roman"/>
          <w:b/>
          <w:bCs/>
          <w:color w:val="000000"/>
          <w:sz w:val="24"/>
          <w:szCs w:val="24"/>
          <w:lang w:eastAsia="ru-RU"/>
        </w:rPr>
        <w:t xml:space="preserve"> </w:t>
      </w:r>
    </w:p>
    <w:p w:rsidR="00CF145B" w:rsidRPr="00CF145B" w:rsidRDefault="00CF145B" w:rsidP="00CF145B">
      <w:pPr>
        <w:spacing w:after="120"/>
        <w:jc w:val="both"/>
        <w:rPr>
          <w:rFonts w:eastAsia="Times New Roman" w:cs="Times New Roman"/>
          <w:sz w:val="24"/>
          <w:szCs w:val="24"/>
          <w:lang w:eastAsia="ru-RU"/>
        </w:rPr>
      </w:pPr>
      <w:r w:rsidRPr="00CF145B">
        <w:rPr>
          <w:rFonts w:eastAsia="Times New Roman" w:cs="Times New Roman"/>
          <w:b/>
          <w:bCs/>
          <w:color w:val="000000"/>
          <w:sz w:val="24"/>
          <w:szCs w:val="24"/>
          <w:lang w:eastAsia="ru-RU"/>
        </w:rPr>
        <w:t>Відповідальний за випуск: Зайченко Н. Я.</w:t>
      </w:r>
    </w:p>
    <w:p w:rsidR="0086019E" w:rsidRPr="0086019E" w:rsidRDefault="0086019E" w:rsidP="00E35213">
      <w:pPr>
        <w:spacing w:after="120" w:line="360" w:lineRule="auto"/>
        <w:ind w:firstLine="567"/>
        <w:jc w:val="both"/>
      </w:pPr>
    </w:p>
    <w:sectPr w:rsidR="0086019E" w:rsidRPr="0086019E" w:rsidSect="006E32A3">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64" w:rsidRDefault="000F7564" w:rsidP="00BB38B8">
      <w:pPr>
        <w:spacing w:after="0"/>
      </w:pPr>
      <w:r>
        <w:separator/>
      </w:r>
    </w:p>
  </w:endnote>
  <w:endnote w:type="continuationSeparator" w:id="0">
    <w:p w:rsidR="000F7564" w:rsidRDefault="000F7564" w:rsidP="00B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375532"/>
      <w:docPartObj>
        <w:docPartGallery w:val="Page Numbers (Bottom of Page)"/>
        <w:docPartUnique/>
      </w:docPartObj>
    </w:sdtPr>
    <w:sdtEndPr/>
    <w:sdtContent>
      <w:p w:rsidR="00292448" w:rsidRDefault="00292448">
        <w:pPr>
          <w:pStyle w:val="ab"/>
          <w:jc w:val="right"/>
        </w:pPr>
        <w:r>
          <w:fldChar w:fldCharType="begin"/>
        </w:r>
        <w:r>
          <w:instrText>PAGE   \* MERGEFORMAT</w:instrText>
        </w:r>
        <w:r>
          <w:fldChar w:fldCharType="separate"/>
        </w:r>
        <w:r w:rsidR="006148BC" w:rsidRPr="006148BC">
          <w:rPr>
            <w:noProof/>
            <w:lang w:val="uk-UA"/>
          </w:rPr>
          <w:t>10</w:t>
        </w:r>
        <w:r>
          <w:fldChar w:fldCharType="end"/>
        </w:r>
      </w:p>
    </w:sdtContent>
  </w:sdt>
  <w:p w:rsidR="00292448" w:rsidRDefault="0029244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64" w:rsidRDefault="000F7564" w:rsidP="00BB38B8">
      <w:pPr>
        <w:spacing w:after="0"/>
      </w:pPr>
      <w:r>
        <w:separator/>
      </w:r>
    </w:p>
  </w:footnote>
  <w:footnote w:type="continuationSeparator" w:id="0">
    <w:p w:rsidR="000F7564" w:rsidRDefault="000F7564" w:rsidP="00BB3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70F22"/>
    <w:multiLevelType w:val="hybridMultilevel"/>
    <w:tmpl w:val="9E7A2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1D3F9F"/>
    <w:multiLevelType w:val="multilevel"/>
    <w:tmpl w:val="09C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27131"/>
    <w:multiLevelType w:val="multilevel"/>
    <w:tmpl w:val="81C2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B125C"/>
    <w:multiLevelType w:val="multilevel"/>
    <w:tmpl w:val="FBF8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0B2F52"/>
    <w:multiLevelType w:val="hybridMultilevel"/>
    <w:tmpl w:val="F21A5E74"/>
    <w:lvl w:ilvl="0" w:tplc="E924A58C">
      <w:start w:val="1"/>
      <w:numFmt w:val="decimal"/>
      <w:lvlText w:val="%1."/>
      <w:lvlJc w:val="left"/>
      <w:pPr>
        <w:ind w:left="7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C32611"/>
    <w:multiLevelType w:val="multilevel"/>
    <w:tmpl w:val="12E8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533DC4"/>
    <w:multiLevelType w:val="hybridMultilevel"/>
    <w:tmpl w:val="00808112"/>
    <w:lvl w:ilvl="0" w:tplc="0D7A5B7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82D5B"/>
    <w:multiLevelType w:val="multilevel"/>
    <w:tmpl w:val="8162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12EBD"/>
    <w:multiLevelType w:val="multilevel"/>
    <w:tmpl w:val="870E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0076DC"/>
    <w:multiLevelType w:val="hybridMultilevel"/>
    <w:tmpl w:val="CFEC1FE0"/>
    <w:lvl w:ilvl="0" w:tplc="3E84B5C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5D14773"/>
    <w:multiLevelType w:val="multilevel"/>
    <w:tmpl w:val="8A3A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255BB"/>
    <w:multiLevelType w:val="multilevel"/>
    <w:tmpl w:val="6EEA6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4058CC"/>
    <w:multiLevelType w:val="multilevel"/>
    <w:tmpl w:val="B274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914536"/>
    <w:multiLevelType w:val="hybridMultilevel"/>
    <w:tmpl w:val="C79C684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5440DA8"/>
    <w:multiLevelType w:val="multilevel"/>
    <w:tmpl w:val="1B2C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A11E7A"/>
    <w:multiLevelType w:val="multilevel"/>
    <w:tmpl w:val="D384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B661D"/>
    <w:multiLevelType w:val="multilevel"/>
    <w:tmpl w:val="5A7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184B4D"/>
    <w:multiLevelType w:val="hybridMultilevel"/>
    <w:tmpl w:val="015452E8"/>
    <w:lvl w:ilvl="0" w:tplc="BFAA7A66">
      <w:start w:val="2"/>
      <w:numFmt w:val="bullet"/>
      <w:lvlText w:val="-"/>
      <w:lvlJc w:val="left"/>
      <w:pPr>
        <w:ind w:left="1080" w:hanging="360"/>
      </w:pPr>
      <w:rPr>
        <w:rFonts w:ascii="Times New Roman" w:eastAsiaTheme="minorHAns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BB46194"/>
    <w:multiLevelType w:val="multilevel"/>
    <w:tmpl w:val="557E23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331F48"/>
    <w:multiLevelType w:val="hybridMultilevel"/>
    <w:tmpl w:val="50F8B184"/>
    <w:lvl w:ilvl="0" w:tplc="87EE475A">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DC860E6"/>
    <w:multiLevelType w:val="multilevel"/>
    <w:tmpl w:val="4E6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207276"/>
    <w:multiLevelType w:val="multilevel"/>
    <w:tmpl w:val="C91CC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C378E0"/>
    <w:multiLevelType w:val="multilevel"/>
    <w:tmpl w:val="1210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D45FCB"/>
    <w:multiLevelType w:val="multilevel"/>
    <w:tmpl w:val="829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8"/>
  </w:num>
  <w:num w:numId="4">
    <w:abstractNumId w:val="2"/>
  </w:num>
  <w:num w:numId="5">
    <w:abstractNumId w:val="12"/>
  </w:num>
  <w:num w:numId="6">
    <w:abstractNumId w:val="15"/>
  </w:num>
  <w:num w:numId="7">
    <w:abstractNumId w:val="5"/>
  </w:num>
  <w:num w:numId="8">
    <w:abstractNumId w:val="10"/>
  </w:num>
  <w:num w:numId="9">
    <w:abstractNumId w:val="14"/>
  </w:num>
  <w:num w:numId="10">
    <w:abstractNumId w:val="1"/>
  </w:num>
  <w:num w:numId="11">
    <w:abstractNumId w:val="7"/>
  </w:num>
  <w:num w:numId="12">
    <w:abstractNumId w:val="23"/>
  </w:num>
  <w:num w:numId="13">
    <w:abstractNumId w:val="16"/>
  </w:num>
  <w:num w:numId="14">
    <w:abstractNumId w:val="22"/>
  </w:num>
  <w:num w:numId="15">
    <w:abstractNumId w:val="20"/>
  </w:num>
  <w:num w:numId="16">
    <w:abstractNumId w:val="11"/>
  </w:num>
  <w:num w:numId="17">
    <w:abstractNumId w:val="21"/>
  </w:num>
  <w:num w:numId="18">
    <w:abstractNumId w:val="18"/>
  </w:num>
  <w:num w:numId="19">
    <w:abstractNumId w:val="3"/>
  </w:num>
  <w:num w:numId="20">
    <w:abstractNumId w:val="4"/>
  </w:num>
  <w:num w:numId="21">
    <w:abstractNumId w:val="0"/>
  </w:num>
  <w:num w:numId="22">
    <w:abstractNumId w:val="13"/>
  </w:num>
  <w:num w:numId="23">
    <w:abstractNumId w:val="19"/>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A07"/>
    <w:rsid w:val="00005F05"/>
    <w:rsid w:val="000073BB"/>
    <w:rsid w:val="00021C77"/>
    <w:rsid w:val="0003123E"/>
    <w:rsid w:val="000312FA"/>
    <w:rsid w:val="00050D1A"/>
    <w:rsid w:val="0005615E"/>
    <w:rsid w:val="0006604B"/>
    <w:rsid w:val="00067086"/>
    <w:rsid w:val="000865FF"/>
    <w:rsid w:val="00087AC5"/>
    <w:rsid w:val="0009230D"/>
    <w:rsid w:val="000940E5"/>
    <w:rsid w:val="00097696"/>
    <w:rsid w:val="000A01B8"/>
    <w:rsid w:val="000A0585"/>
    <w:rsid w:val="000A5F10"/>
    <w:rsid w:val="000A6247"/>
    <w:rsid w:val="000B31D7"/>
    <w:rsid w:val="000B603A"/>
    <w:rsid w:val="000D0913"/>
    <w:rsid w:val="000E1249"/>
    <w:rsid w:val="000E1DDF"/>
    <w:rsid w:val="000E3714"/>
    <w:rsid w:val="000E4709"/>
    <w:rsid w:val="000E7F55"/>
    <w:rsid w:val="000F1128"/>
    <w:rsid w:val="000F51CC"/>
    <w:rsid w:val="000F7564"/>
    <w:rsid w:val="00106F3D"/>
    <w:rsid w:val="001074E3"/>
    <w:rsid w:val="001119D4"/>
    <w:rsid w:val="0011374B"/>
    <w:rsid w:val="001154EE"/>
    <w:rsid w:val="00141BB0"/>
    <w:rsid w:val="00141DEC"/>
    <w:rsid w:val="00144F10"/>
    <w:rsid w:val="00147EFA"/>
    <w:rsid w:val="001537DF"/>
    <w:rsid w:val="001537F4"/>
    <w:rsid w:val="00154FD6"/>
    <w:rsid w:val="001652BE"/>
    <w:rsid w:val="001661C3"/>
    <w:rsid w:val="001B5E63"/>
    <w:rsid w:val="001D4269"/>
    <w:rsid w:val="001D4552"/>
    <w:rsid w:val="001E240B"/>
    <w:rsid w:val="001E7AF3"/>
    <w:rsid w:val="001F2CCF"/>
    <w:rsid w:val="001F6CB9"/>
    <w:rsid w:val="002059D5"/>
    <w:rsid w:val="00207CFC"/>
    <w:rsid w:val="00207E8A"/>
    <w:rsid w:val="00221209"/>
    <w:rsid w:val="00221B44"/>
    <w:rsid w:val="002239C1"/>
    <w:rsid w:val="00223BA5"/>
    <w:rsid w:val="00230E29"/>
    <w:rsid w:val="00241847"/>
    <w:rsid w:val="002445C7"/>
    <w:rsid w:val="00247F02"/>
    <w:rsid w:val="00261C18"/>
    <w:rsid w:val="00264FC3"/>
    <w:rsid w:val="00273402"/>
    <w:rsid w:val="00292448"/>
    <w:rsid w:val="00297014"/>
    <w:rsid w:val="002A09F3"/>
    <w:rsid w:val="002A2702"/>
    <w:rsid w:val="002B6F0C"/>
    <w:rsid w:val="002C7B31"/>
    <w:rsid w:val="002D29ED"/>
    <w:rsid w:val="002E2BEC"/>
    <w:rsid w:val="002F57EC"/>
    <w:rsid w:val="002F638D"/>
    <w:rsid w:val="00323552"/>
    <w:rsid w:val="00326601"/>
    <w:rsid w:val="0033097E"/>
    <w:rsid w:val="00331471"/>
    <w:rsid w:val="00340FD3"/>
    <w:rsid w:val="00364403"/>
    <w:rsid w:val="00376AEE"/>
    <w:rsid w:val="00376F44"/>
    <w:rsid w:val="003871E2"/>
    <w:rsid w:val="00393122"/>
    <w:rsid w:val="00395E3C"/>
    <w:rsid w:val="003A1AD5"/>
    <w:rsid w:val="003A2489"/>
    <w:rsid w:val="003B695E"/>
    <w:rsid w:val="003B7C79"/>
    <w:rsid w:val="003C09CB"/>
    <w:rsid w:val="003C7151"/>
    <w:rsid w:val="003D01F4"/>
    <w:rsid w:val="003D3CE7"/>
    <w:rsid w:val="003E1CFE"/>
    <w:rsid w:val="003E555C"/>
    <w:rsid w:val="003F5760"/>
    <w:rsid w:val="003F769C"/>
    <w:rsid w:val="004001F3"/>
    <w:rsid w:val="00410E80"/>
    <w:rsid w:val="00411289"/>
    <w:rsid w:val="00422301"/>
    <w:rsid w:val="004275B2"/>
    <w:rsid w:val="00434499"/>
    <w:rsid w:val="00434E8D"/>
    <w:rsid w:val="0044336D"/>
    <w:rsid w:val="0044577F"/>
    <w:rsid w:val="00446474"/>
    <w:rsid w:val="00446DCD"/>
    <w:rsid w:val="00450D38"/>
    <w:rsid w:val="00461A3F"/>
    <w:rsid w:val="00474935"/>
    <w:rsid w:val="00481AAC"/>
    <w:rsid w:val="0048472B"/>
    <w:rsid w:val="0048495C"/>
    <w:rsid w:val="00495387"/>
    <w:rsid w:val="004B2A52"/>
    <w:rsid w:val="004B3554"/>
    <w:rsid w:val="004B560A"/>
    <w:rsid w:val="004C1FE6"/>
    <w:rsid w:val="004E37CF"/>
    <w:rsid w:val="004F0983"/>
    <w:rsid w:val="005023B4"/>
    <w:rsid w:val="005114C2"/>
    <w:rsid w:val="00511FEC"/>
    <w:rsid w:val="00513F10"/>
    <w:rsid w:val="005156C1"/>
    <w:rsid w:val="00527BE5"/>
    <w:rsid w:val="0053227A"/>
    <w:rsid w:val="005344C9"/>
    <w:rsid w:val="005402AD"/>
    <w:rsid w:val="00542E63"/>
    <w:rsid w:val="00554363"/>
    <w:rsid w:val="00555EDC"/>
    <w:rsid w:val="005576A5"/>
    <w:rsid w:val="00565FC7"/>
    <w:rsid w:val="00566ECC"/>
    <w:rsid w:val="00582798"/>
    <w:rsid w:val="005844F6"/>
    <w:rsid w:val="00586511"/>
    <w:rsid w:val="00593252"/>
    <w:rsid w:val="00595BCD"/>
    <w:rsid w:val="00596C67"/>
    <w:rsid w:val="005A3824"/>
    <w:rsid w:val="005A433D"/>
    <w:rsid w:val="005C33B0"/>
    <w:rsid w:val="005E1E67"/>
    <w:rsid w:val="005E3777"/>
    <w:rsid w:val="00610CA3"/>
    <w:rsid w:val="006142BA"/>
    <w:rsid w:val="006148BC"/>
    <w:rsid w:val="00627425"/>
    <w:rsid w:val="00634A0F"/>
    <w:rsid w:val="00635D82"/>
    <w:rsid w:val="00636BD9"/>
    <w:rsid w:val="006417EC"/>
    <w:rsid w:val="006451BA"/>
    <w:rsid w:val="00647033"/>
    <w:rsid w:val="00650669"/>
    <w:rsid w:val="006528AF"/>
    <w:rsid w:val="00657A41"/>
    <w:rsid w:val="00663B92"/>
    <w:rsid w:val="00664188"/>
    <w:rsid w:val="00666475"/>
    <w:rsid w:val="00673164"/>
    <w:rsid w:val="00683114"/>
    <w:rsid w:val="006957FD"/>
    <w:rsid w:val="006B4B8D"/>
    <w:rsid w:val="006B6C63"/>
    <w:rsid w:val="006D1335"/>
    <w:rsid w:val="006E32A3"/>
    <w:rsid w:val="007014CC"/>
    <w:rsid w:val="00702DE1"/>
    <w:rsid w:val="007079FA"/>
    <w:rsid w:val="00710095"/>
    <w:rsid w:val="00724BFD"/>
    <w:rsid w:val="00727B95"/>
    <w:rsid w:val="00727CF2"/>
    <w:rsid w:val="00732209"/>
    <w:rsid w:val="00732F85"/>
    <w:rsid w:val="00734851"/>
    <w:rsid w:val="007409AE"/>
    <w:rsid w:val="007409C4"/>
    <w:rsid w:val="00755793"/>
    <w:rsid w:val="007769BF"/>
    <w:rsid w:val="007859B1"/>
    <w:rsid w:val="00790D90"/>
    <w:rsid w:val="0079322E"/>
    <w:rsid w:val="00794DB5"/>
    <w:rsid w:val="007A3BC4"/>
    <w:rsid w:val="007A7C7C"/>
    <w:rsid w:val="007C1B1E"/>
    <w:rsid w:val="007C20FC"/>
    <w:rsid w:val="007C4AF3"/>
    <w:rsid w:val="007D32D6"/>
    <w:rsid w:val="007D793B"/>
    <w:rsid w:val="00810A2C"/>
    <w:rsid w:val="0081700B"/>
    <w:rsid w:val="0082367C"/>
    <w:rsid w:val="00826FEF"/>
    <w:rsid w:val="00827731"/>
    <w:rsid w:val="00834063"/>
    <w:rsid w:val="00844B22"/>
    <w:rsid w:val="00846003"/>
    <w:rsid w:val="008462D7"/>
    <w:rsid w:val="00850F30"/>
    <w:rsid w:val="008515CB"/>
    <w:rsid w:val="00851CEC"/>
    <w:rsid w:val="008538FF"/>
    <w:rsid w:val="0086019E"/>
    <w:rsid w:val="00860BF8"/>
    <w:rsid w:val="00860ED0"/>
    <w:rsid w:val="00866FA7"/>
    <w:rsid w:val="008724C8"/>
    <w:rsid w:val="00881F4E"/>
    <w:rsid w:val="00885EBF"/>
    <w:rsid w:val="00887E05"/>
    <w:rsid w:val="008913B3"/>
    <w:rsid w:val="008A6CF6"/>
    <w:rsid w:val="008B479F"/>
    <w:rsid w:val="008B498F"/>
    <w:rsid w:val="008C15A1"/>
    <w:rsid w:val="008C4BAD"/>
    <w:rsid w:val="008C7EA4"/>
    <w:rsid w:val="008E67C7"/>
    <w:rsid w:val="00900F88"/>
    <w:rsid w:val="00904C93"/>
    <w:rsid w:val="009053F2"/>
    <w:rsid w:val="00923B77"/>
    <w:rsid w:val="009268CA"/>
    <w:rsid w:val="0092755F"/>
    <w:rsid w:val="00935A01"/>
    <w:rsid w:val="009370BA"/>
    <w:rsid w:val="009526C4"/>
    <w:rsid w:val="00952749"/>
    <w:rsid w:val="00967EF9"/>
    <w:rsid w:val="00970441"/>
    <w:rsid w:val="009711F3"/>
    <w:rsid w:val="00976745"/>
    <w:rsid w:val="00983674"/>
    <w:rsid w:val="00983EC6"/>
    <w:rsid w:val="00990DC8"/>
    <w:rsid w:val="00995E2C"/>
    <w:rsid w:val="00996656"/>
    <w:rsid w:val="00996AA7"/>
    <w:rsid w:val="009A2F02"/>
    <w:rsid w:val="009A4737"/>
    <w:rsid w:val="009A6118"/>
    <w:rsid w:val="009A731C"/>
    <w:rsid w:val="009B06CF"/>
    <w:rsid w:val="009B22EC"/>
    <w:rsid w:val="009B2930"/>
    <w:rsid w:val="009B3C49"/>
    <w:rsid w:val="009B4682"/>
    <w:rsid w:val="009B4E6D"/>
    <w:rsid w:val="009B7101"/>
    <w:rsid w:val="009C54E5"/>
    <w:rsid w:val="009C667B"/>
    <w:rsid w:val="009D75D8"/>
    <w:rsid w:val="009E5623"/>
    <w:rsid w:val="009E586C"/>
    <w:rsid w:val="00A06D2F"/>
    <w:rsid w:val="00A103B8"/>
    <w:rsid w:val="00A1095D"/>
    <w:rsid w:val="00A12F2C"/>
    <w:rsid w:val="00A1639D"/>
    <w:rsid w:val="00A16777"/>
    <w:rsid w:val="00A32974"/>
    <w:rsid w:val="00A35161"/>
    <w:rsid w:val="00A43101"/>
    <w:rsid w:val="00A4378D"/>
    <w:rsid w:val="00A522BF"/>
    <w:rsid w:val="00A6188F"/>
    <w:rsid w:val="00A6762F"/>
    <w:rsid w:val="00A760DA"/>
    <w:rsid w:val="00A82084"/>
    <w:rsid w:val="00A84140"/>
    <w:rsid w:val="00AA524C"/>
    <w:rsid w:val="00AB419A"/>
    <w:rsid w:val="00AD6D34"/>
    <w:rsid w:val="00AF24E8"/>
    <w:rsid w:val="00AF7701"/>
    <w:rsid w:val="00B0048D"/>
    <w:rsid w:val="00B105DF"/>
    <w:rsid w:val="00B16A68"/>
    <w:rsid w:val="00B22A1B"/>
    <w:rsid w:val="00B30A57"/>
    <w:rsid w:val="00B54BA7"/>
    <w:rsid w:val="00B5702D"/>
    <w:rsid w:val="00B710B0"/>
    <w:rsid w:val="00B724A1"/>
    <w:rsid w:val="00B802A1"/>
    <w:rsid w:val="00B84D8C"/>
    <w:rsid w:val="00B9285A"/>
    <w:rsid w:val="00B95313"/>
    <w:rsid w:val="00BB38B8"/>
    <w:rsid w:val="00BC116C"/>
    <w:rsid w:val="00BC615E"/>
    <w:rsid w:val="00BC6F2E"/>
    <w:rsid w:val="00BD534E"/>
    <w:rsid w:val="00BE2B45"/>
    <w:rsid w:val="00BF6348"/>
    <w:rsid w:val="00BF7DE8"/>
    <w:rsid w:val="00C02EB8"/>
    <w:rsid w:val="00C10915"/>
    <w:rsid w:val="00C16454"/>
    <w:rsid w:val="00C17CAC"/>
    <w:rsid w:val="00C35624"/>
    <w:rsid w:val="00C36F35"/>
    <w:rsid w:val="00C37DD7"/>
    <w:rsid w:val="00C44D56"/>
    <w:rsid w:val="00C517A1"/>
    <w:rsid w:val="00C55C46"/>
    <w:rsid w:val="00C70A85"/>
    <w:rsid w:val="00C7359C"/>
    <w:rsid w:val="00C8154A"/>
    <w:rsid w:val="00C87235"/>
    <w:rsid w:val="00CB5117"/>
    <w:rsid w:val="00CC1D1C"/>
    <w:rsid w:val="00CC71D0"/>
    <w:rsid w:val="00CD4308"/>
    <w:rsid w:val="00CE0E3B"/>
    <w:rsid w:val="00CE38E8"/>
    <w:rsid w:val="00CF145B"/>
    <w:rsid w:val="00CF5F8D"/>
    <w:rsid w:val="00D00995"/>
    <w:rsid w:val="00D027A7"/>
    <w:rsid w:val="00D03FF1"/>
    <w:rsid w:val="00D07BAE"/>
    <w:rsid w:val="00D270A2"/>
    <w:rsid w:val="00D3106C"/>
    <w:rsid w:val="00D37920"/>
    <w:rsid w:val="00D56724"/>
    <w:rsid w:val="00D60928"/>
    <w:rsid w:val="00D6505C"/>
    <w:rsid w:val="00D6713B"/>
    <w:rsid w:val="00D8787D"/>
    <w:rsid w:val="00D93523"/>
    <w:rsid w:val="00D944BC"/>
    <w:rsid w:val="00D963AB"/>
    <w:rsid w:val="00DA48EB"/>
    <w:rsid w:val="00DB49AE"/>
    <w:rsid w:val="00DB59BB"/>
    <w:rsid w:val="00DB6F6A"/>
    <w:rsid w:val="00DC5573"/>
    <w:rsid w:val="00DD4974"/>
    <w:rsid w:val="00DD5B89"/>
    <w:rsid w:val="00DE153C"/>
    <w:rsid w:val="00DE1F30"/>
    <w:rsid w:val="00DE5A2D"/>
    <w:rsid w:val="00DF39DA"/>
    <w:rsid w:val="00DF40D3"/>
    <w:rsid w:val="00E04FEC"/>
    <w:rsid w:val="00E158EE"/>
    <w:rsid w:val="00E167B9"/>
    <w:rsid w:val="00E27831"/>
    <w:rsid w:val="00E340FE"/>
    <w:rsid w:val="00E35213"/>
    <w:rsid w:val="00E41AEC"/>
    <w:rsid w:val="00E47EB6"/>
    <w:rsid w:val="00E6027D"/>
    <w:rsid w:val="00E61EA3"/>
    <w:rsid w:val="00E95976"/>
    <w:rsid w:val="00E9756A"/>
    <w:rsid w:val="00E97A3C"/>
    <w:rsid w:val="00EA5905"/>
    <w:rsid w:val="00EB0EDD"/>
    <w:rsid w:val="00EB604F"/>
    <w:rsid w:val="00EC2213"/>
    <w:rsid w:val="00EC630F"/>
    <w:rsid w:val="00EC6EC8"/>
    <w:rsid w:val="00EC7390"/>
    <w:rsid w:val="00ED0D2F"/>
    <w:rsid w:val="00ED3DD8"/>
    <w:rsid w:val="00ED5A07"/>
    <w:rsid w:val="00EE4ECC"/>
    <w:rsid w:val="00EF0E67"/>
    <w:rsid w:val="00EF1D36"/>
    <w:rsid w:val="00EF254C"/>
    <w:rsid w:val="00EF6132"/>
    <w:rsid w:val="00EF6ECC"/>
    <w:rsid w:val="00F13115"/>
    <w:rsid w:val="00F204AE"/>
    <w:rsid w:val="00F305D9"/>
    <w:rsid w:val="00F40069"/>
    <w:rsid w:val="00F44718"/>
    <w:rsid w:val="00F4692D"/>
    <w:rsid w:val="00F63902"/>
    <w:rsid w:val="00F70292"/>
    <w:rsid w:val="00F72CAB"/>
    <w:rsid w:val="00F73A74"/>
    <w:rsid w:val="00F8051F"/>
    <w:rsid w:val="00F8761E"/>
    <w:rsid w:val="00F87D22"/>
    <w:rsid w:val="00F900DA"/>
    <w:rsid w:val="00F901B5"/>
    <w:rsid w:val="00F90F6D"/>
    <w:rsid w:val="00FA6661"/>
    <w:rsid w:val="00FB3171"/>
    <w:rsid w:val="00FB70C0"/>
    <w:rsid w:val="00FC6704"/>
    <w:rsid w:val="00FD0B4E"/>
    <w:rsid w:val="00FD1790"/>
    <w:rsid w:val="00FD2191"/>
    <w:rsid w:val="00FE32EA"/>
    <w:rsid w:val="00FE7C76"/>
    <w:rsid w:val="00FF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A07"/>
    <w:pPr>
      <w:spacing w:after="160" w:line="240" w:lineRule="auto"/>
    </w:pPr>
    <w:rPr>
      <w:rFonts w:ascii="Times New Roman" w:hAnsi="Times New Roman"/>
      <w:sz w:val="28"/>
    </w:rPr>
  </w:style>
  <w:style w:type="paragraph" w:styleId="1">
    <w:name w:val="heading 1"/>
    <w:basedOn w:val="a"/>
    <w:link w:val="10"/>
    <w:uiPriority w:val="9"/>
    <w:qFormat/>
    <w:rsid w:val="004001F3"/>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unhideWhenUsed/>
    <w:qFormat/>
    <w:rsid w:val="00FE32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C73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4B355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5A07"/>
    <w:rPr>
      <w:color w:val="0000FF"/>
      <w:u w:val="single"/>
    </w:rPr>
  </w:style>
  <w:style w:type="character" w:customStyle="1" w:styleId="10">
    <w:name w:val="Заголовок 1 Знак"/>
    <w:basedOn w:val="a0"/>
    <w:link w:val="1"/>
    <w:uiPriority w:val="9"/>
    <w:rsid w:val="004001F3"/>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4001F3"/>
    <w:rPr>
      <w:i/>
      <w:iCs/>
    </w:rPr>
  </w:style>
  <w:style w:type="character" w:customStyle="1" w:styleId="11">
    <w:name w:val="Назва1"/>
    <w:basedOn w:val="a0"/>
    <w:rsid w:val="00ED3DD8"/>
  </w:style>
  <w:style w:type="character" w:customStyle="1" w:styleId="author">
    <w:name w:val="author"/>
    <w:basedOn w:val="a0"/>
    <w:rsid w:val="00663B92"/>
  </w:style>
  <w:style w:type="character" w:customStyle="1" w:styleId="field-content">
    <w:name w:val="field-content"/>
    <w:basedOn w:val="a0"/>
    <w:rsid w:val="00FF33FE"/>
  </w:style>
  <w:style w:type="paragraph" w:styleId="a5">
    <w:name w:val="Normal (Web)"/>
    <w:basedOn w:val="a"/>
    <w:uiPriority w:val="99"/>
    <w:unhideWhenUsed/>
    <w:rsid w:val="00B54BA7"/>
    <w:pPr>
      <w:spacing w:before="100" w:beforeAutospacing="1" w:after="100" w:afterAutospacing="1"/>
    </w:pPr>
    <w:rPr>
      <w:rFonts w:eastAsia="Times New Roman" w:cs="Times New Roman"/>
      <w:sz w:val="24"/>
      <w:szCs w:val="24"/>
      <w:lang w:val="en-US"/>
    </w:rPr>
  </w:style>
  <w:style w:type="character" w:customStyle="1" w:styleId="20">
    <w:name w:val="Заголовок 2 Знак"/>
    <w:basedOn w:val="a0"/>
    <w:link w:val="2"/>
    <w:uiPriority w:val="9"/>
    <w:rsid w:val="00FE32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EC739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rsid w:val="004B3554"/>
    <w:rPr>
      <w:rFonts w:asciiTheme="majorHAnsi" w:eastAsiaTheme="majorEastAsia" w:hAnsiTheme="majorHAnsi" w:cstheme="majorBidi"/>
      <w:color w:val="365F91" w:themeColor="accent1" w:themeShade="BF"/>
      <w:sz w:val="28"/>
    </w:rPr>
  </w:style>
  <w:style w:type="character" w:styleId="a6">
    <w:name w:val="Strong"/>
    <w:basedOn w:val="a0"/>
    <w:uiPriority w:val="22"/>
    <w:qFormat/>
    <w:rsid w:val="00E41AEC"/>
    <w:rPr>
      <w:b/>
      <w:bCs/>
    </w:rPr>
  </w:style>
  <w:style w:type="character" w:customStyle="1" w:styleId="21">
    <w:name w:val="Назва2"/>
    <w:basedOn w:val="a0"/>
    <w:rsid w:val="00846003"/>
  </w:style>
  <w:style w:type="character" w:customStyle="1" w:styleId="light">
    <w:name w:val="light"/>
    <w:basedOn w:val="a0"/>
    <w:rsid w:val="00846003"/>
  </w:style>
  <w:style w:type="paragraph" w:styleId="a7">
    <w:name w:val="List Paragraph"/>
    <w:basedOn w:val="a"/>
    <w:uiPriority w:val="34"/>
    <w:qFormat/>
    <w:rsid w:val="00461A3F"/>
    <w:pPr>
      <w:ind w:left="720"/>
      <w:contextualSpacing/>
    </w:pPr>
  </w:style>
  <w:style w:type="paragraph" w:customStyle="1" w:styleId="Default">
    <w:name w:val="Default"/>
    <w:rsid w:val="003F5760"/>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No Spacing"/>
    <w:uiPriority w:val="1"/>
    <w:qFormat/>
    <w:rsid w:val="003F5760"/>
    <w:pPr>
      <w:spacing w:after="0" w:line="240" w:lineRule="auto"/>
    </w:pPr>
  </w:style>
  <w:style w:type="character" w:customStyle="1" w:styleId="ms-1">
    <w:name w:val="ms-1"/>
    <w:basedOn w:val="a0"/>
    <w:rsid w:val="00C7359C"/>
  </w:style>
  <w:style w:type="character" w:customStyle="1" w:styleId="max-w-15ch">
    <w:name w:val="max-w-[15ch]"/>
    <w:basedOn w:val="a0"/>
    <w:rsid w:val="00C7359C"/>
  </w:style>
  <w:style w:type="character" w:customStyle="1" w:styleId="-me-1">
    <w:name w:val="-me-1"/>
    <w:basedOn w:val="a0"/>
    <w:rsid w:val="00C7359C"/>
  </w:style>
  <w:style w:type="paragraph" w:styleId="a9">
    <w:name w:val="header"/>
    <w:basedOn w:val="a"/>
    <w:link w:val="aa"/>
    <w:uiPriority w:val="99"/>
    <w:unhideWhenUsed/>
    <w:rsid w:val="00BB38B8"/>
    <w:pPr>
      <w:tabs>
        <w:tab w:val="center" w:pos="4844"/>
        <w:tab w:val="right" w:pos="9689"/>
      </w:tabs>
      <w:spacing w:after="0"/>
    </w:pPr>
  </w:style>
  <w:style w:type="character" w:customStyle="1" w:styleId="aa">
    <w:name w:val="Верхній колонтитул Знак"/>
    <w:basedOn w:val="a0"/>
    <w:link w:val="a9"/>
    <w:uiPriority w:val="99"/>
    <w:rsid w:val="00BB38B8"/>
    <w:rPr>
      <w:rFonts w:ascii="Times New Roman" w:hAnsi="Times New Roman"/>
      <w:sz w:val="28"/>
    </w:rPr>
  </w:style>
  <w:style w:type="paragraph" w:styleId="ab">
    <w:name w:val="footer"/>
    <w:basedOn w:val="a"/>
    <w:link w:val="ac"/>
    <w:uiPriority w:val="99"/>
    <w:unhideWhenUsed/>
    <w:rsid w:val="00BB38B8"/>
    <w:pPr>
      <w:tabs>
        <w:tab w:val="center" w:pos="4844"/>
        <w:tab w:val="right" w:pos="9689"/>
      </w:tabs>
      <w:spacing w:after="0"/>
    </w:pPr>
  </w:style>
  <w:style w:type="character" w:customStyle="1" w:styleId="ac">
    <w:name w:val="Нижній колонтитул Знак"/>
    <w:basedOn w:val="a0"/>
    <w:link w:val="ab"/>
    <w:uiPriority w:val="99"/>
    <w:rsid w:val="00BB38B8"/>
    <w:rPr>
      <w:rFonts w:ascii="Times New Roman" w:hAnsi="Times New Roman"/>
      <w:sz w:val="28"/>
    </w:rPr>
  </w:style>
  <w:style w:type="character" w:customStyle="1" w:styleId="xfm52135521">
    <w:name w:val="xfm_52135521"/>
    <w:basedOn w:val="a0"/>
    <w:rsid w:val="00D6713B"/>
  </w:style>
  <w:style w:type="character" w:customStyle="1" w:styleId="xfm87524387">
    <w:name w:val="xfm_87524387"/>
    <w:basedOn w:val="a0"/>
    <w:rsid w:val="00E04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030">
      <w:bodyDiv w:val="1"/>
      <w:marLeft w:val="0"/>
      <w:marRight w:val="0"/>
      <w:marTop w:val="0"/>
      <w:marBottom w:val="0"/>
      <w:divBdr>
        <w:top w:val="none" w:sz="0" w:space="0" w:color="auto"/>
        <w:left w:val="none" w:sz="0" w:space="0" w:color="auto"/>
        <w:bottom w:val="none" w:sz="0" w:space="0" w:color="auto"/>
        <w:right w:val="none" w:sz="0" w:space="0" w:color="auto"/>
      </w:divBdr>
    </w:div>
    <w:div w:id="141623695">
      <w:bodyDiv w:val="1"/>
      <w:marLeft w:val="0"/>
      <w:marRight w:val="0"/>
      <w:marTop w:val="0"/>
      <w:marBottom w:val="0"/>
      <w:divBdr>
        <w:top w:val="none" w:sz="0" w:space="0" w:color="auto"/>
        <w:left w:val="none" w:sz="0" w:space="0" w:color="auto"/>
        <w:bottom w:val="none" w:sz="0" w:space="0" w:color="auto"/>
        <w:right w:val="none" w:sz="0" w:space="0" w:color="auto"/>
      </w:divBdr>
    </w:div>
    <w:div w:id="164518002">
      <w:bodyDiv w:val="1"/>
      <w:marLeft w:val="0"/>
      <w:marRight w:val="0"/>
      <w:marTop w:val="0"/>
      <w:marBottom w:val="0"/>
      <w:divBdr>
        <w:top w:val="none" w:sz="0" w:space="0" w:color="auto"/>
        <w:left w:val="none" w:sz="0" w:space="0" w:color="auto"/>
        <w:bottom w:val="none" w:sz="0" w:space="0" w:color="auto"/>
        <w:right w:val="none" w:sz="0" w:space="0" w:color="auto"/>
      </w:divBdr>
    </w:div>
    <w:div w:id="170024174">
      <w:bodyDiv w:val="1"/>
      <w:marLeft w:val="0"/>
      <w:marRight w:val="0"/>
      <w:marTop w:val="0"/>
      <w:marBottom w:val="0"/>
      <w:divBdr>
        <w:top w:val="none" w:sz="0" w:space="0" w:color="auto"/>
        <w:left w:val="none" w:sz="0" w:space="0" w:color="auto"/>
        <w:bottom w:val="none" w:sz="0" w:space="0" w:color="auto"/>
        <w:right w:val="none" w:sz="0" w:space="0" w:color="auto"/>
      </w:divBdr>
    </w:div>
    <w:div w:id="463619113">
      <w:bodyDiv w:val="1"/>
      <w:marLeft w:val="0"/>
      <w:marRight w:val="0"/>
      <w:marTop w:val="0"/>
      <w:marBottom w:val="0"/>
      <w:divBdr>
        <w:top w:val="none" w:sz="0" w:space="0" w:color="auto"/>
        <w:left w:val="none" w:sz="0" w:space="0" w:color="auto"/>
        <w:bottom w:val="none" w:sz="0" w:space="0" w:color="auto"/>
        <w:right w:val="none" w:sz="0" w:space="0" w:color="auto"/>
      </w:divBdr>
    </w:div>
    <w:div w:id="522089395">
      <w:bodyDiv w:val="1"/>
      <w:marLeft w:val="0"/>
      <w:marRight w:val="0"/>
      <w:marTop w:val="0"/>
      <w:marBottom w:val="0"/>
      <w:divBdr>
        <w:top w:val="none" w:sz="0" w:space="0" w:color="auto"/>
        <w:left w:val="none" w:sz="0" w:space="0" w:color="auto"/>
        <w:bottom w:val="none" w:sz="0" w:space="0" w:color="auto"/>
        <w:right w:val="none" w:sz="0" w:space="0" w:color="auto"/>
      </w:divBdr>
    </w:div>
    <w:div w:id="646785328">
      <w:bodyDiv w:val="1"/>
      <w:marLeft w:val="0"/>
      <w:marRight w:val="0"/>
      <w:marTop w:val="0"/>
      <w:marBottom w:val="0"/>
      <w:divBdr>
        <w:top w:val="none" w:sz="0" w:space="0" w:color="auto"/>
        <w:left w:val="none" w:sz="0" w:space="0" w:color="auto"/>
        <w:bottom w:val="none" w:sz="0" w:space="0" w:color="auto"/>
        <w:right w:val="none" w:sz="0" w:space="0" w:color="auto"/>
      </w:divBdr>
    </w:div>
    <w:div w:id="658850734">
      <w:bodyDiv w:val="1"/>
      <w:marLeft w:val="0"/>
      <w:marRight w:val="0"/>
      <w:marTop w:val="0"/>
      <w:marBottom w:val="0"/>
      <w:divBdr>
        <w:top w:val="none" w:sz="0" w:space="0" w:color="auto"/>
        <w:left w:val="none" w:sz="0" w:space="0" w:color="auto"/>
        <w:bottom w:val="none" w:sz="0" w:space="0" w:color="auto"/>
        <w:right w:val="none" w:sz="0" w:space="0" w:color="auto"/>
      </w:divBdr>
    </w:div>
    <w:div w:id="669717787">
      <w:bodyDiv w:val="1"/>
      <w:marLeft w:val="0"/>
      <w:marRight w:val="0"/>
      <w:marTop w:val="0"/>
      <w:marBottom w:val="0"/>
      <w:divBdr>
        <w:top w:val="none" w:sz="0" w:space="0" w:color="auto"/>
        <w:left w:val="none" w:sz="0" w:space="0" w:color="auto"/>
        <w:bottom w:val="none" w:sz="0" w:space="0" w:color="auto"/>
        <w:right w:val="none" w:sz="0" w:space="0" w:color="auto"/>
      </w:divBdr>
    </w:div>
    <w:div w:id="723603208">
      <w:bodyDiv w:val="1"/>
      <w:marLeft w:val="0"/>
      <w:marRight w:val="0"/>
      <w:marTop w:val="0"/>
      <w:marBottom w:val="0"/>
      <w:divBdr>
        <w:top w:val="none" w:sz="0" w:space="0" w:color="auto"/>
        <w:left w:val="none" w:sz="0" w:space="0" w:color="auto"/>
        <w:bottom w:val="none" w:sz="0" w:space="0" w:color="auto"/>
        <w:right w:val="none" w:sz="0" w:space="0" w:color="auto"/>
      </w:divBdr>
      <w:divsChild>
        <w:div w:id="357900198">
          <w:marLeft w:val="0"/>
          <w:marRight w:val="0"/>
          <w:marTop w:val="75"/>
          <w:marBottom w:val="0"/>
          <w:divBdr>
            <w:top w:val="none" w:sz="0" w:space="0" w:color="auto"/>
            <w:left w:val="none" w:sz="0" w:space="0" w:color="auto"/>
            <w:bottom w:val="none" w:sz="0" w:space="0" w:color="auto"/>
            <w:right w:val="none" w:sz="0" w:space="0" w:color="auto"/>
          </w:divBdr>
        </w:div>
      </w:divsChild>
    </w:div>
    <w:div w:id="740713129">
      <w:bodyDiv w:val="1"/>
      <w:marLeft w:val="0"/>
      <w:marRight w:val="0"/>
      <w:marTop w:val="0"/>
      <w:marBottom w:val="0"/>
      <w:divBdr>
        <w:top w:val="none" w:sz="0" w:space="0" w:color="auto"/>
        <w:left w:val="none" w:sz="0" w:space="0" w:color="auto"/>
        <w:bottom w:val="none" w:sz="0" w:space="0" w:color="auto"/>
        <w:right w:val="none" w:sz="0" w:space="0" w:color="auto"/>
      </w:divBdr>
    </w:div>
    <w:div w:id="972562250">
      <w:bodyDiv w:val="1"/>
      <w:marLeft w:val="0"/>
      <w:marRight w:val="0"/>
      <w:marTop w:val="0"/>
      <w:marBottom w:val="0"/>
      <w:divBdr>
        <w:top w:val="none" w:sz="0" w:space="0" w:color="auto"/>
        <w:left w:val="none" w:sz="0" w:space="0" w:color="auto"/>
        <w:bottom w:val="none" w:sz="0" w:space="0" w:color="auto"/>
        <w:right w:val="none" w:sz="0" w:space="0" w:color="auto"/>
      </w:divBdr>
    </w:div>
    <w:div w:id="1037042579">
      <w:bodyDiv w:val="1"/>
      <w:marLeft w:val="0"/>
      <w:marRight w:val="0"/>
      <w:marTop w:val="0"/>
      <w:marBottom w:val="0"/>
      <w:divBdr>
        <w:top w:val="none" w:sz="0" w:space="0" w:color="auto"/>
        <w:left w:val="none" w:sz="0" w:space="0" w:color="auto"/>
        <w:bottom w:val="none" w:sz="0" w:space="0" w:color="auto"/>
        <w:right w:val="none" w:sz="0" w:space="0" w:color="auto"/>
      </w:divBdr>
    </w:div>
    <w:div w:id="1110012540">
      <w:bodyDiv w:val="1"/>
      <w:marLeft w:val="0"/>
      <w:marRight w:val="0"/>
      <w:marTop w:val="0"/>
      <w:marBottom w:val="0"/>
      <w:divBdr>
        <w:top w:val="none" w:sz="0" w:space="0" w:color="auto"/>
        <w:left w:val="none" w:sz="0" w:space="0" w:color="auto"/>
        <w:bottom w:val="none" w:sz="0" w:space="0" w:color="auto"/>
        <w:right w:val="none" w:sz="0" w:space="0" w:color="auto"/>
      </w:divBdr>
    </w:div>
    <w:div w:id="1241135584">
      <w:bodyDiv w:val="1"/>
      <w:marLeft w:val="0"/>
      <w:marRight w:val="0"/>
      <w:marTop w:val="0"/>
      <w:marBottom w:val="0"/>
      <w:divBdr>
        <w:top w:val="none" w:sz="0" w:space="0" w:color="auto"/>
        <w:left w:val="none" w:sz="0" w:space="0" w:color="auto"/>
        <w:bottom w:val="none" w:sz="0" w:space="0" w:color="auto"/>
        <w:right w:val="none" w:sz="0" w:space="0" w:color="auto"/>
      </w:divBdr>
    </w:div>
    <w:div w:id="1314867013">
      <w:bodyDiv w:val="1"/>
      <w:marLeft w:val="0"/>
      <w:marRight w:val="0"/>
      <w:marTop w:val="0"/>
      <w:marBottom w:val="0"/>
      <w:divBdr>
        <w:top w:val="none" w:sz="0" w:space="0" w:color="auto"/>
        <w:left w:val="none" w:sz="0" w:space="0" w:color="auto"/>
        <w:bottom w:val="none" w:sz="0" w:space="0" w:color="auto"/>
        <w:right w:val="none" w:sz="0" w:space="0" w:color="auto"/>
      </w:divBdr>
    </w:div>
    <w:div w:id="1327786180">
      <w:bodyDiv w:val="1"/>
      <w:marLeft w:val="0"/>
      <w:marRight w:val="0"/>
      <w:marTop w:val="0"/>
      <w:marBottom w:val="0"/>
      <w:divBdr>
        <w:top w:val="none" w:sz="0" w:space="0" w:color="auto"/>
        <w:left w:val="none" w:sz="0" w:space="0" w:color="auto"/>
        <w:bottom w:val="none" w:sz="0" w:space="0" w:color="auto"/>
        <w:right w:val="none" w:sz="0" w:space="0" w:color="auto"/>
      </w:divBdr>
    </w:div>
    <w:div w:id="1349793610">
      <w:bodyDiv w:val="1"/>
      <w:marLeft w:val="0"/>
      <w:marRight w:val="0"/>
      <w:marTop w:val="0"/>
      <w:marBottom w:val="0"/>
      <w:divBdr>
        <w:top w:val="none" w:sz="0" w:space="0" w:color="auto"/>
        <w:left w:val="none" w:sz="0" w:space="0" w:color="auto"/>
        <w:bottom w:val="none" w:sz="0" w:space="0" w:color="auto"/>
        <w:right w:val="none" w:sz="0" w:space="0" w:color="auto"/>
      </w:divBdr>
    </w:div>
    <w:div w:id="1530724447">
      <w:bodyDiv w:val="1"/>
      <w:marLeft w:val="0"/>
      <w:marRight w:val="0"/>
      <w:marTop w:val="0"/>
      <w:marBottom w:val="0"/>
      <w:divBdr>
        <w:top w:val="none" w:sz="0" w:space="0" w:color="auto"/>
        <w:left w:val="none" w:sz="0" w:space="0" w:color="auto"/>
        <w:bottom w:val="none" w:sz="0" w:space="0" w:color="auto"/>
        <w:right w:val="none" w:sz="0" w:space="0" w:color="auto"/>
      </w:divBdr>
      <w:divsChild>
        <w:div w:id="1379739076">
          <w:marLeft w:val="0"/>
          <w:marRight w:val="0"/>
          <w:marTop w:val="75"/>
          <w:marBottom w:val="0"/>
          <w:divBdr>
            <w:top w:val="none" w:sz="0" w:space="0" w:color="auto"/>
            <w:left w:val="none" w:sz="0" w:space="0" w:color="auto"/>
            <w:bottom w:val="none" w:sz="0" w:space="0" w:color="auto"/>
            <w:right w:val="none" w:sz="0" w:space="0" w:color="auto"/>
          </w:divBdr>
        </w:div>
      </w:divsChild>
    </w:div>
    <w:div w:id="1563246295">
      <w:bodyDiv w:val="1"/>
      <w:marLeft w:val="0"/>
      <w:marRight w:val="0"/>
      <w:marTop w:val="0"/>
      <w:marBottom w:val="0"/>
      <w:divBdr>
        <w:top w:val="none" w:sz="0" w:space="0" w:color="auto"/>
        <w:left w:val="none" w:sz="0" w:space="0" w:color="auto"/>
        <w:bottom w:val="none" w:sz="0" w:space="0" w:color="auto"/>
        <w:right w:val="none" w:sz="0" w:space="0" w:color="auto"/>
      </w:divBdr>
    </w:div>
    <w:div w:id="1582451131">
      <w:bodyDiv w:val="1"/>
      <w:marLeft w:val="0"/>
      <w:marRight w:val="0"/>
      <w:marTop w:val="0"/>
      <w:marBottom w:val="0"/>
      <w:divBdr>
        <w:top w:val="none" w:sz="0" w:space="0" w:color="auto"/>
        <w:left w:val="none" w:sz="0" w:space="0" w:color="auto"/>
        <w:bottom w:val="none" w:sz="0" w:space="0" w:color="auto"/>
        <w:right w:val="none" w:sz="0" w:space="0" w:color="auto"/>
      </w:divBdr>
      <w:divsChild>
        <w:div w:id="1104766181">
          <w:marLeft w:val="0"/>
          <w:marRight w:val="0"/>
          <w:marTop w:val="75"/>
          <w:marBottom w:val="0"/>
          <w:divBdr>
            <w:top w:val="none" w:sz="0" w:space="0" w:color="auto"/>
            <w:left w:val="none" w:sz="0" w:space="0" w:color="auto"/>
            <w:bottom w:val="none" w:sz="0" w:space="0" w:color="auto"/>
            <w:right w:val="none" w:sz="0" w:space="0" w:color="auto"/>
          </w:divBdr>
        </w:div>
      </w:divsChild>
    </w:div>
    <w:div w:id="1813596602">
      <w:bodyDiv w:val="1"/>
      <w:marLeft w:val="0"/>
      <w:marRight w:val="0"/>
      <w:marTop w:val="0"/>
      <w:marBottom w:val="0"/>
      <w:divBdr>
        <w:top w:val="none" w:sz="0" w:space="0" w:color="auto"/>
        <w:left w:val="none" w:sz="0" w:space="0" w:color="auto"/>
        <w:bottom w:val="none" w:sz="0" w:space="0" w:color="auto"/>
        <w:right w:val="none" w:sz="0" w:space="0" w:color="auto"/>
      </w:divBdr>
    </w:div>
    <w:div w:id="1885481587">
      <w:bodyDiv w:val="1"/>
      <w:marLeft w:val="0"/>
      <w:marRight w:val="0"/>
      <w:marTop w:val="0"/>
      <w:marBottom w:val="0"/>
      <w:divBdr>
        <w:top w:val="none" w:sz="0" w:space="0" w:color="auto"/>
        <w:left w:val="none" w:sz="0" w:space="0" w:color="auto"/>
        <w:bottom w:val="none" w:sz="0" w:space="0" w:color="auto"/>
        <w:right w:val="none" w:sz="0" w:space="0" w:color="auto"/>
      </w:divBdr>
    </w:div>
    <w:div w:id="1899899122">
      <w:bodyDiv w:val="1"/>
      <w:marLeft w:val="0"/>
      <w:marRight w:val="0"/>
      <w:marTop w:val="0"/>
      <w:marBottom w:val="0"/>
      <w:divBdr>
        <w:top w:val="none" w:sz="0" w:space="0" w:color="auto"/>
        <w:left w:val="none" w:sz="0" w:space="0" w:color="auto"/>
        <w:bottom w:val="none" w:sz="0" w:space="0" w:color="auto"/>
        <w:right w:val="none" w:sz="0" w:space="0" w:color="auto"/>
      </w:divBdr>
    </w:div>
    <w:div w:id="1970277202">
      <w:bodyDiv w:val="1"/>
      <w:marLeft w:val="0"/>
      <w:marRight w:val="0"/>
      <w:marTop w:val="0"/>
      <w:marBottom w:val="0"/>
      <w:divBdr>
        <w:top w:val="none" w:sz="0" w:space="0" w:color="auto"/>
        <w:left w:val="none" w:sz="0" w:space="0" w:color="auto"/>
        <w:bottom w:val="none" w:sz="0" w:space="0" w:color="auto"/>
        <w:right w:val="none" w:sz="0" w:space="0" w:color="auto"/>
      </w:divBdr>
    </w:div>
    <w:div w:id="2067798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erspectives.pp.ua/index.php/sas/article/view/41973/41988" TargetMode="External"/><Relationship Id="rId18" Type="http://schemas.openxmlformats.org/officeDocument/2006/relationships/hyperlink" Target="https://www.golos.com.ua/article/391151" TargetMode="External"/><Relationship Id="rId3" Type="http://schemas.microsoft.com/office/2007/relationships/stylesWithEffects" Target="stylesWithEffects.xml"/><Relationship Id="rId21" Type="http://schemas.openxmlformats.org/officeDocument/2006/relationships/hyperlink" Target="https://lsej.org.ua/3_2026/74.pdf" TargetMode="External"/><Relationship Id="rId7" Type="http://schemas.openxmlformats.org/officeDocument/2006/relationships/endnotes" Target="endnotes.xml"/><Relationship Id="rId12" Type="http://schemas.openxmlformats.org/officeDocument/2006/relationships/hyperlink" Target="https://perspectives.pp.ua/index.php/sas/article/view/41969/41984" TargetMode="External"/><Relationship Id="rId17" Type="http://schemas.openxmlformats.org/officeDocument/2006/relationships/hyperlink" Target="http://easternlaw.com.ua/wp-content/uploads/2026/04/luhina_radvanskyi_dobrovolska_145.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akty.ua/472002-v-shage-ot-cifrovoj-katastrofy-iran-ugrozhaet-pererezat-podvodnye-internet-kabeli" TargetMode="External"/><Relationship Id="rId20" Type="http://schemas.openxmlformats.org/officeDocument/2006/relationships/hyperlink" Target="https://focus.ua/uk/world/754554-papa-rimskiy-lev-xiv-stvorit-komisiyu-dlya-ocinki-vplivu-shi-na-lyudstvo-politic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isnyk.vntu.edu.ua/index.php/visnyk/article/view/3432/306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ur-gazeta.com/golovna/dlya-derzhavnih-reestriv-posilyuyut-sistemu-kiberzahistu.html" TargetMode="External"/><Relationship Id="rId23" Type="http://schemas.openxmlformats.org/officeDocument/2006/relationships/footer" Target="footer1.xml"/><Relationship Id="rId10" Type="http://schemas.openxmlformats.org/officeDocument/2006/relationships/hyperlink" Target="http://nplu.org/article.php?id=423&amp;subject=3" TargetMode="External"/><Relationship Id="rId19" Type="http://schemas.openxmlformats.org/officeDocument/2006/relationships/hyperlink" Target="https://molodyivchenyi.ua/index.php/journal/article/view/66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a.korrespondent.net/articles/4876326-armiia-potrebuie-luidei-z-koho-mozhut-zniaty-bron-i-mobilizuvaty" TargetMode="External"/><Relationship Id="rId22" Type="http://schemas.openxmlformats.org/officeDocument/2006/relationships/hyperlink" Target="https://lsej.org.ua/4_2026/43.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3117</Words>
  <Characters>17772</Characters>
  <Application>Microsoft Office Word</Application>
  <DocSecurity>0</DocSecurity>
  <Lines>148</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2</cp:revision>
  <dcterms:created xsi:type="dcterms:W3CDTF">2026-06-02T08:54:00Z</dcterms:created>
  <dcterms:modified xsi:type="dcterms:W3CDTF">2026-06-02T08:54:00Z</dcterms:modified>
</cp:coreProperties>
</file>